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Case Study: The Qubit Budget</w:t>
      </w:r>
    </w:p>
    <w:p>
      <w:pPr>
        <w:spacing w:after="150"/>
      </w:pPr>
      <w:r>
        <w:t xml:space="preserve">MS | Math | Case Study | 2026-27 | Frontier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50"/>
      </w:pPr>
      <w:r>
        <w:t xml:space="preserve">Sam Okafor has thirty seconds left on the shared screen before the budget committee moves to the next line item.</w:t>
      </w:r>
    </w:p>
    <w:p>
      <w:pPr>
        <w:spacing w:after="150"/>
      </w:pPr>
      <w:r>
        <w:t xml:space="preserve">The slide behind her shows two boxes, side by side, and nothing else yet. One box is smaller. The other is bigger, and more expensive, and — if the client's own spec sheet is right — the only one that actually solves the client's problem instead of a piece of it. Sam's cursor hovers between them.</w:t>
      </w:r>
    </w:p>
    <w:p>
      <w:pPr>
        <w:spacing w:after="150"/>
      </w:pPr>
      <w:r>
        <w:t xml:space="preserve">She's been the one signing off on register-size calls since she joined Latticeworks eight months ago, but this is the first one with a client contract attached to it, and the first one the CFO is sitting in on. Behind her, on a second monitor turned just far enough away that the room can't read it, sits the cost model she built last night — real vendor pricing, real hardware numbers, nothing made up, and an answer she's still not sure she believes.</w:t>
      </w:r>
    </w:p>
    <w:p>
      <w:pPr>
        <w:spacing w:after="150"/>
      </w:pPr>
      <w:r>
        <w:t xml:space="preserve">Someone in the room clears their throat. The CFO taps her pen once against the table, waiting.</w:t>
      </w:r>
    </w:p>
    <w:p>
      <w:pPr>
        <w:spacing w:after="150"/>
      </w:pPr>
      <w:r>
        <w:t xml:space="preserve">"Twenty qubits," Sam says, "or twenty-four. That's the ask."</w:t>
      </w:r>
    </w:p>
    <w:p>
      <w:pPr>
        <w:spacing w:after="150"/>
      </w:pPr>
      <w:r>
        <w:t xml:space="preserve">She doesn't click either box yet.</w:t>
      </w:r>
    </w:p>
    <w:p>
      <w:pPr>
        <w:pStyle w:val="Heading1"/>
        <w:spacing w:after="150" w:before="300"/>
      </w:pPr>
      <w:r>
        <w:t xml:space="preserve">Background</w:t>
      </w:r>
    </w:p>
    <w:p>
      <w:pPr>
        <w:spacing w:after="150"/>
      </w:pPr>
      <w:r>
        <w:t xml:space="preserve">Sam Okafor is a Quantum Software Engineer at Latticeworks, a small quantum-computing startup that runs client optimization workloads on rented cloud quantum hardware rather than owning any of its own. This week's client has handed Latticeworks a supply-chain routing problem: for each of 24 candidate warehouse-to-store delivery lanes, decide whether that lane should be active or idle, in a way that minimizes total cost — a standard combinatorial optimization problem with 24 independent binary decision variables (SEE APPENDIX A).</w:t>
      </w:r>
    </w:p>
    <w:p>
      <w:pPr>
        <w:spacing w:after="150"/>
      </w:pPr>
      <w:r>
        <w:t xml:space="preserve">Representing that problem exactly on a quantum computer requires one qubit per decision variable, so the </w:t>
      </w:r>
      <w:r>
        <w:rPr>
          <w:i/>
          <w:iCs/>
        </w:rPr>
        <w:t xml:space="preserve">exact</w:t>
      </w:r>
      <w:r>
        <w:t xml:space="preserve"> register size is 24 qubits, with a state space of 2²⁴ basis states — one for every possible combination of active/idle lanes. Latticeworks does not own quantum hardware; every run is billed by a cloud quantum-compute provider, per shot, on rented time (SEE APPENDIX B and APPENDIX C).</w:t>
      </w:r>
    </w:p>
    <w:p>
      <w:pPr>
        <w:spacing w:after="150"/>
      </w:pPr>
      <w:r>
        <w:t xml:space="preserve">Sam has narrowed the register-size decision to two options. </w:t>
      </w:r>
      <w:r>
        <w:rPr>
          <w:b/>
          <w:bCs/>
        </w:rPr>
        <w:t xml:space="preserve">The Near-Term Register</w:t>
      </w:r>
      <w:r>
        <w:t xml:space="preserve"> commits to 20 qubits — comfortably inside this quarter's cloud-compute budget, but its 2²⁰ state space can represent only 20 of the client's 24 decision variables at once; the remaining 4 lanes have to be handled by a classical fallback heuristic bolted onto the quantum result (SEE APPENDIX B). </w:t>
      </w:r>
      <w:r>
        <w:rPr>
          <w:b/>
          <w:bCs/>
        </w:rPr>
        <w:t xml:space="preserve">The Full Register</w:t>
      </w:r>
      <w:r>
        <w:t xml:space="preserve"> commits to 24 qubits — its state space represents all 24 decision variables exactly, with no classical patchwork required (SEE APPENDIX C).</w:t>
      </w:r>
    </w:p>
    <w:p>
      <w:pPr>
        <w:spacing w:after="150"/>
      </w:pPr>
      <w:r>
        <w:t xml:space="preserve">Every extra qubit does not cost the same amount, and it is not simply "more expensive, but still correct." Real published hardware benchmarks show that the more qubits a circuit uses, the more two-qubit gates a realistic problem-solving circuit on that hardware needs to touch every qubit — and every gate carries its own real, nonzero error rate. Errors compound multiplicatively across a circuit, so a shot's odds of finishing below the error threshold that makes its result trustworthy fall as register size grows (SEE APPENDIX D). Because Latticeworks pays per shot, not per successful shot, a shot that comes back above the error threshold is still billed — it just isn't useful. That is what makes the two options genuinely comparable on the same yardstick: not the price tag on the box, but the real cost of a shot Latticeworks can actually hand the client (SEE APPENDIX E). Every figure in this case is either directly cited to a real, published source or explicitly labeled a scenario assumption (SEE APPENDIX F for the full source list).</w:t>
      </w:r>
    </w:p>
    <w:p>
      <w:pPr>
        <w:spacing w:after="150"/>
      </w:pPr>
      <w:r>
        <w:rPr>
          <w:i/>
          <w:iCs/>
        </w:rPr>
        <w:t xml:space="preserve">Note: Latticeworks is a scenario construction for this case — there is no real company by this name. The client's 24-lane routing problem is likewise a constructed scenario. The cloud-provider pricing and hardware error-rate figures cited in the appendices are real, published, and independent of Latticeworks' fictional status. The full standards bridge for this case is in Appendix G.</w:t>
      </w:r>
    </w:p>
    <w:p>
      <w:pPr>
        <w:pStyle w:val="Heading1"/>
        <w:spacing w:after="150" w:before="300"/>
      </w:pPr>
      <w:r>
        <w:t xml:space="preserve">Dilemma</w:t>
      </w:r>
    </w:p>
    <w:p>
      <w:pPr>
        <w:spacing w:after="150"/>
      </w:pPr>
      <w:r>
        <w:t xml:space="preserve">You are Sam Okafor.</w:t>
      </w:r>
    </w:p>
    <w:p>
      <w:pPr>
        <w:spacing w:after="150"/>
      </w:pPr>
      <w:r>
        <w:t xml:space="preserve">Do you:</w:t>
      </w:r>
    </w:p>
    <w:p>
      <w:pPr>
        <w:spacing w:after="150"/>
      </w:pPr>
      <w:r>
        <w:rPr>
          <w:b/>
          <w:bCs/>
        </w:rPr>
        <w:t xml:space="preserve">A.)</w:t>
      </w:r>
      <w:r>
        <w:t xml:space="preserve"> Commit to </w:t>
      </w:r>
      <w:r>
        <w:rPr>
          <w:b/>
          <w:bCs/>
        </w:rPr>
        <w:t xml:space="preserve">the Near-Term Register</w:t>
      </w:r>
      <w:r>
        <w:t xml:space="preserve"> — 20 qubits, cheaper and inside this quarter's budget, but its 2²⁰ state space can't fully represent the client's 24-variable problem, forcing a classical-heuristic approximation on 4 of the lanes </w:t>
      </w:r>
      <w:r>
        <w:rPr>
          <w:b/>
          <w:bCs/>
        </w:rPr>
        <w:t xml:space="preserve">OR</w:t>
      </w:r>
    </w:p>
    <w:p>
      <w:pPr>
        <w:spacing w:after="150"/>
      </w:pPr>
      <w:r>
        <w:rPr>
          <w:b/>
          <w:bCs/>
        </w:rPr>
        <w:t xml:space="preserve">B.)</w:t>
      </w:r>
      <w:r>
        <w:t xml:space="preserve"> Commit to </w:t>
      </w:r>
      <w:r>
        <w:rPr>
          <w:b/>
          <w:bCs/>
        </w:rPr>
        <w:t xml:space="preserve">the Full Register</w:t>
      </w:r>
      <w:r>
        <w:t xml:space="preserve"> — 24 qubits, whose 2²⁴ state space represents the client's problem exactly, but real published hardware error rates compound faster as circuit width grows, and cloud-quantum time is billed per shot regardless of whether that shot lands below the error threshold</w:t>
      </w:r>
    </w:p>
    <w:p>
      <w:pPr>
        <w:pStyle w:val="Heading1"/>
        <w:spacing w:after="150" w:before="300"/>
      </w:pPr>
      <w:r>
        <w:t xml:space="preserve">Challenges</w:t>
      </w:r>
    </w:p>
    <w:p>
      <w:pPr>
        <w:ind w:left="0"/>
      </w:pPr>
      <w:r>
        <w:t xml:space="preserve">1.) Research and find an online resource that answers one of the "how to…" questions from the</w:t>
      </w:r>
    </w:p>
    <w:p>
      <w:pPr>
        <w:spacing w:after="150"/>
      </w:pPr>
      <w:r>
        <w:t xml:space="preserve">case study launch. Post a link to the resource as your submission.</w:t>
      </w:r>
    </w:p>
    <w:p>
      <w:pPr>
        <w:ind w:left="0"/>
      </w:pPr>
      <w:r>
        <w:t xml:space="preserve">2.) Post 250 or more "excellent" words pitching a firm stance to your audience on which you</w:t>
      </w:r>
    </w:p>
    <w:p>
      <w:pPr>
        <w:spacing w:after="150"/>
      </w:pPr>
      <w:r>
        <w:t xml:space="preserve">would choose and why. Your pitch must include:     a.) Use of the "how to…" resource you researched in Challenge 1.     b.) At least one original visual display of the data.</w:t>
      </w:r>
    </w:p>
    <w:p>
      <w:pPr>
        <w:ind w:left="0"/>
      </w:pPr>
      <w:r>
        <w:t xml:space="preserve">3.) Include the following: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D1 — A state-space computation.</w:t>
      </w:r>
      <w:r>
        <w:t xml:space="preserve"> Evaluate 2²⁰ and 2²⁴ exactly, then compute the ratio 2²⁴ ÷ 2²⁰ as a single power of 2. Use that ratio to explain, in your own words, exactly what "16× larger state space" means and why it is the 24-qubit register — not the 20-qubit register — that can represent all 24 of the client's decision variables at once.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D2 — A circuit gate-count table.</w:t>
      </w:r>
      <w:r>
        <w:t xml:space="preserve"> Using Appendix D's gate-count model, compute the number of two-qubit gates a full problem-solving circuit needs at 20 qubits and at 24 qubits.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D3 — A below-threshold success-probability computation.</w:t>
      </w:r>
      <w:r>
        <w:t xml:space="preserve"> For each register size, evaluate the expression (1 − gate error rate)^(number of two-qubit gates), following order of operations: subtract inside the parentheses first, then apply the exponent. Show your work for both options.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D4 — A cost-per-successful-shot table and margin.</w:t>
      </w:r>
      <w:r>
        <w:t xml:space="preserve"> Using D3's success probabilities and Appendix E's per-shot price, compute dollars of cloud-quantum compute cost per successfully-completed shot for both options, and the percent margin between them.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D5 — A recommendation memo.</w:t>
      </w:r>
      <w:r>
        <w:t xml:space="preserve"> State which register size Sam should commit to, defended with D1's exact state-space comparison, D4's cost-per-successful-shot numbers and margin, and Appendix A's fact about what happens to the 4 uncovered lanes under Option A.</w:t>
      </w:r>
    </w:p>
    <w:p>
      <w:pPr>
        <w:ind w:left="0"/>
      </w:pPr>
      <w:r>
        <w:t xml:space="preserve">4.) An appendix showing evidence of your original thinking, work, calculations and processes you</w:t>
      </w:r>
    </w:p>
    <w:p>
      <w:pPr>
        <w:spacing w:after="150"/>
      </w:pPr>
      <w:r>
        <w:t xml:space="preserve">used to complete the challenges (pictures, screenshots, notes, etc.). Your work in the appendix does not count toward your word count.</w:t>
      </w:r>
    </w:p>
    <w:p>
      <w:pPr>
        <w:ind w:left="0"/>
      </w:pPr>
      <w:r>
        <w:t xml:space="preserve">5.) Participate twice or more in the Case Study discussion. *If you are absent the day of a</w:t>
      </w:r>
    </w:p>
    <w:p>
      <w:pPr>
        <w:spacing w:after="150"/>
      </w:pPr>
      <w:r>
        <w:t xml:space="preserve">discussion post 500 "excellent" words on the questions above.</w:t>
      </w:r>
    </w:p>
    <w:p>
      <w:pPr>
        <w:pStyle w:val="Heading1"/>
        <w:spacing w:after="150" w:before="300"/>
      </w:pPr>
      <w:r>
        <w:t xml:space="preserve">Appendix A: The Client's Routing Problem &amp; Latticeworks' Constraints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Quantity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Number of independent binary decision variables in the client's routing problem (one per candidate delivery lane)</w:t>
            </w:r>
          </w:p>
        </w:tc>
        <w:tc>
          <w:tcPr>
            <w:tcW w:type="dxa" w:w="4500"/>
          </w:tcPr>
          <w:p>
            <w:r>
              <w:t xml:space="preserve">24 [MA1]</w:t>
            </w:r>
          </w:p>
        </w:tc>
      </w:tr>
      <w:tr>
        <w:tc>
          <w:tcPr>
            <w:tcW w:type="dxa" w:w="4500"/>
          </w:tcPr>
          <w:p>
            <w:r>
              <w:t xml:space="preserve">Minimum qubits required to represent the full problem exactly (1 qubit per decision variable)</w:t>
            </w:r>
          </w:p>
        </w:tc>
        <w:tc>
          <w:tcPr>
            <w:tcW w:type="dxa" w:w="4500"/>
          </w:tcPr>
          <w:p>
            <w:r>
              <w:t xml:space="preserve">24 [computed from MA1]</w:t>
            </w:r>
          </w:p>
        </w:tc>
      </w:tr>
      <w:tr>
        <w:tc>
          <w:tcPr>
            <w:tcW w:type="dxa" w:w="4500"/>
          </w:tcPr>
          <w:p>
            <w:r>
              <w:t xml:space="preserve">This quarter's cloud-quantum compute budget ceiling</w:t>
            </w:r>
          </w:p>
        </w:tc>
        <w:tc>
          <w:tcPr>
            <w:tcW w:type="dxa" w:w="4500"/>
          </w:tcPr>
          <w:p>
            <w:r>
              <w:t xml:space="preserve">Comfortably covers the 20-qubit option; does not comfortably cover the 24-qubit option at the shot volumes in Appendix E [MA2]</w:t>
            </w:r>
          </w:p>
        </w:tc>
      </w:tr>
      <w:tr>
        <w:tc>
          <w:tcPr>
            <w:tcW w:type="dxa" w:w="4500"/>
          </w:tcPr>
          <w:p>
            <w:r>
              <w:t xml:space="preserve">What happens to lanes not covered by the quantum register, under the Near-Term Register (Option A)</w:t>
            </w:r>
          </w:p>
        </w:tc>
        <w:tc>
          <w:tcPr>
            <w:tcW w:type="dxa" w:w="4500"/>
          </w:tcPr>
          <w:p>
            <w:r>
              <w:t xml:space="preserve">The uncovered 4 lanes are decided by a classical fallback heuristic run alongside the quantum result, not by the quantum circuit itself [MA3]</w:t>
            </w:r>
          </w:p>
        </w:tc>
      </w:tr>
      <w:tr>
        <w:tc>
          <w:tcPr>
            <w:tcW w:type="dxa" w:w="4500"/>
          </w:tcPr>
          <w:p>
            <w:r>
              <w:t xml:space="preserve">Days until Sam must submit a register-size recommendation to the budget committee</w:t>
            </w:r>
          </w:p>
        </w:tc>
        <w:tc>
          <w:tcPr>
            <w:tcW w:type="dxa" w:w="4500"/>
          </w:tcPr>
          <w:p>
            <w:r>
              <w:t xml:space="preserve">2 days [MA4]</w:t>
            </w:r>
          </w:p>
        </w:tc>
      </w:tr>
    </w:tbl>
    <w:p/>
    <w:p>
      <w:pPr>
        <w:spacing w:after="150"/>
      </w:pPr>
      <w:r>
        <w:rPr>
          <w:i/>
          <w:iCs/>
        </w:rPr>
        <w:t xml:space="preserve">Note: Latticeworks and its client are scenario constructions for this case — see Background.</w:t>
      </w:r>
    </w:p>
    <w:p>
      <w:pPr>
        <w:pStyle w:val="Heading1"/>
        <w:spacing w:after="150" w:before="300"/>
      </w:pPr>
      <w:r>
        <w:t xml:space="preserve">Appendix B: Option A — The Near-Term Register (20 Qubits)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Spec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Register size</w:t>
            </w:r>
          </w:p>
        </w:tc>
        <w:tc>
          <w:tcPr>
            <w:tcW w:type="dxa" w:w="4500"/>
          </w:tcPr>
          <w:p>
            <w:r>
              <w:t xml:space="preserve">20 qubits</w:t>
            </w:r>
          </w:p>
        </w:tc>
      </w:tr>
      <w:tr>
        <w:tc>
          <w:tcPr>
            <w:tcW w:type="dxa" w:w="4500"/>
          </w:tcPr>
          <w:p>
            <w:r>
              <w:t xml:space="preserve">State space (basis states)</w:t>
            </w:r>
          </w:p>
        </w:tc>
        <w:tc>
          <w:tcPr>
            <w:tcW w:type="dxa" w:w="4500"/>
          </w:tcPr>
          <w:p>
            <w:r>
              <w:t xml:space="preserve">2²⁰ = 1,048,576 [computed]</w:t>
            </w:r>
          </w:p>
        </w:tc>
      </w:tr>
      <w:tr>
        <w:tc>
          <w:tcPr>
            <w:tcW w:type="dxa" w:w="4500"/>
          </w:tcPr>
          <w:p>
            <w:r>
              <w:t xml:space="preserve">Coverage of the client's 24-variable problem</w:t>
            </w:r>
          </w:p>
        </w:tc>
        <w:tc>
          <w:tcPr>
            <w:tcW w:type="dxa" w:w="4500"/>
          </w:tcPr>
          <w:p>
            <w:r>
              <w:t xml:space="preserve">20 of 24 decision variables represented exactly; 4 lanes handled by a classical heuristic (Appendix A)</w:t>
            </w:r>
          </w:p>
        </w:tc>
      </w:tr>
      <w:tr>
        <w:tc>
          <w:tcPr>
            <w:tcW w:type="dxa" w:w="4500"/>
          </w:tcPr>
          <w:p>
            <w:r>
              <w:t xml:space="preserve">Cloud provider / device</w:t>
            </w:r>
          </w:p>
        </w:tc>
        <w:tc>
          <w:tcPr>
            <w:tcW w:type="dxa" w:w="4500"/>
          </w:tcPr>
          <w:p>
            <w:r>
              <w:t xml:space="preserve">IonQ Forte, accessed via Amazon Braket [S1]</w:t>
            </w:r>
          </w:p>
        </w:tc>
      </w:tr>
      <w:tr>
        <w:tc>
          <w:tcPr>
            <w:tcW w:type="dxa" w:w="4500"/>
          </w:tcPr>
          <w:p>
            <w:r>
              <w:t xml:space="preserve">Per-shot price</w:t>
            </w:r>
          </w:p>
        </w:tc>
        <w:tc>
          <w:tcPr>
            <w:tcW w:type="dxa" w:w="4500"/>
          </w:tcPr>
          <w:p>
            <w:r>
              <w:t xml:space="preserve">$0.08 [S1]</w:t>
            </w:r>
          </w:p>
        </w:tc>
      </w:tr>
      <w:tr>
        <w:tc>
          <w:tcPr>
            <w:tcW w:type="dxa" w:w="4500"/>
          </w:tcPr>
          <w:p>
            <w:r>
              <w:t xml:space="preserve">Per-task price</w:t>
            </w:r>
          </w:p>
        </w:tc>
        <w:tc>
          <w:tcPr>
            <w:tcW w:type="dxa" w:w="4500"/>
          </w:tcPr>
          <w:p>
            <w:r>
              <w:t xml:space="preserve">$0.30 [S1]</w:t>
            </w:r>
          </w:p>
        </w:tc>
      </w:tr>
    </w:tbl>
    <w:p/>
    <w:p>
      <w:pPr>
        <w:pStyle w:val="Heading1"/>
        <w:spacing w:after="150" w:before="300"/>
      </w:pPr>
      <w:r>
        <w:t xml:space="preserve">Appendix C: Option B — The Full Register (24 Qubits)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Spec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Register size</w:t>
            </w:r>
          </w:p>
        </w:tc>
        <w:tc>
          <w:tcPr>
            <w:tcW w:type="dxa" w:w="4500"/>
          </w:tcPr>
          <w:p>
            <w:r>
              <w:t xml:space="preserve">24 qubits</w:t>
            </w:r>
          </w:p>
        </w:tc>
      </w:tr>
      <w:tr>
        <w:tc>
          <w:tcPr>
            <w:tcW w:type="dxa" w:w="4500"/>
          </w:tcPr>
          <w:p>
            <w:r>
              <w:t xml:space="preserve">State space (basis states)</w:t>
            </w:r>
          </w:p>
        </w:tc>
        <w:tc>
          <w:tcPr>
            <w:tcW w:type="dxa" w:w="4500"/>
          </w:tcPr>
          <w:p>
            <w:r>
              <w:t xml:space="preserve">2²⁴ = 16,777,216 [computed] — exactly 2²⁴ ÷ 2²⁰ = 2⁴ = </w:t>
            </w:r>
            <w:r>
              <w:rPr>
                <w:b/>
                <w:bCs/>
              </w:rPr>
              <w:t xml:space="preserve">16×</w:t>
            </w:r>
            <w:r>
              <w:t xml:space="preserve"> the 20-qubit state space [computed]</w:t>
            </w:r>
          </w:p>
        </w:tc>
      </w:tr>
      <w:tr>
        <w:tc>
          <w:tcPr>
            <w:tcW w:type="dxa" w:w="4500"/>
          </w:tcPr>
          <w:p>
            <w:r>
              <w:t xml:space="preserve">Coverage of the client's 24-variable problem</w:t>
            </w:r>
          </w:p>
        </w:tc>
        <w:tc>
          <w:tcPr>
            <w:tcW w:type="dxa" w:w="4500"/>
          </w:tcPr>
          <w:p>
            <w:r>
              <w:t xml:space="preserve">All 24 decision variables represented exactly; no classical fallback needed</w:t>
            </w:r>
          </w:p>
        </w:tc>
      </w:tr>
      <w:tr>
        <w:tc>
          <w:tcPr>
            <w:tcW w:type="dxa" w:w="4500"/>
          </w:tcPr>
          <w:p>
            <w:r>
              <w:t xml:space="preserve">Cloud provider / device</w:t>
            </w:r>
          </w:p>
        </w:tc>
        <w:tc>
          <w:tcPr>
            <w:tcW w:type="dxa" w:w="4500"/>
          </w:tcPr>
          <w:p>
            <w:r>
              <w:t xml:space="preserve">IonQ Forte, accessed via Amazon Braket (same device and pricing as Option A) [S1]</w:t>
            </w:r>
          </w:p>
        </w:tc>
      </w:tr>
      <w:tr>
        <w:tc>
          <w:tcPr>
            <w:tcW w:type="dxa" w:w="4500"/>
          </w:tcPr>
          <w:p>
            <w:r>
              <w:t xml:space="preserve">Per-shot price</w:t>
            </w:r>
          </w:p>
        </w:tc>
        <w:tc>
          <w:tcPr>
            <w:tcW w:type="dxa" w:w="4500"/>
          </w:tcPr>
          <w:p>
            <w:r>
              <w:t xml:space="preserve">$0.08 [S1]</w:t>
            </w:r>
          </w:p>
        </w:tc>
      </w:tr>
      <w:tr>
        <w:tc>
          <w:tcPr>
            <w:tcW w:type="dxa" w:w="4500"/>
          </w:tcPr>
          <w:p>
            <w:r>
              <w:t xml:space="preserve">Per-task price</w:t>
            </w:r>
          </w:p>
        </w:tc>
        <w:tc>
          <w:tcPr>
            <w:tcW w:type="dxa" w:w="4500"/>
          </w:tcPr>
          <w:p>
            <w:r>
              <w:t xml:space="preserve">$0.30 [S1]</w:t>
            </w:r>
          </w:p>
        </w:tc>
      </w:tr>
    </w:tbl>
    <w:p/>
    <w:p>
      <w:pPr>
        <w:pStyle w:val="Heading1"/>
        <w:spacing w:after="150" w:before="300"/>
      </w:pPr>
      <w:r>
        <w:t xml:space="preserve">Appendix D: IonQ Forte — Published Hardware Error Data &amp; Gate-Count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Quantity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Median measured two-qubit gate error rate, IonQ Forte (30-qubit trapped-ion system)</w:t>
            </w:r>
          </w:p>
        </w:tc>
        <w:tc>
          <w:tcPr>
            <w:tcW w:type="dxa" w:w="4500"/>
          </w:tcPr>
          <w:p>
            <w:r>
              <w:t xml:space="preserve">46.4 × 10⁻⁴ = </w:t>
            </w:r>
            <w:r>
              <w:rPr>
                <w:b/>
                <w:bCs/>
              </w:rPr>
              <w:t xml:space="preserve">0.464%</w:t>
            </w:r>
            <w:r>
              <w:t xml:space="preserve"> per two-qubit gate [S2]</w:t>
            </w:r>
          </w:p>
        </w:tc>
      </w:tr>
      <w:tr>
        <w:tc>
          <w:tcPr>
            <w:tcW w:type="dxa" w:w="4500"/>
          </w:tcPr>
          <w:p>
            <w:r>
              <w:t xml:space="preserve">Real published anchor: at circuit width ≈20 qubits, IonQ Forte sustains application-oriented circuits of up to ≈200 two-qubit gates before measured fidelity drops below the 1/e (≈36.8%) threshold that IonQ's own "Algorithmic Qubits" (#AQ) benchmark uses to define a passing circuit</w:t>
            </w:r>
          </w:p>
        </w:tc>
        <w:tc>
          <w:tcPr>
            <w:tcW w:type="dxa" w:w="4500"/>
          </w:tcPr>
          <w:p>
            <w:r>
              <w:t xml:space="preserve">≈200 two-qubit gates at width ≈20 [S2]</w:t>
            </w:r>
          </w:p>
        </w:tc>
      </w:tr>
      <w:tr>
        <w:tc>
          <w:tcPr>
            <w:tcW w:type="dxa" w:w="4500"/>
          </w:tcPr>
          <w:p>
            <w:r>
              <w:t xml:space="preserve">Gate-count model used in this case, calibrated to the real anchor above (200 gates ÷ 20 qubits = 10 gates/qubit)</w:t>
            </w:r>
          </w:p>
        </w:tc>
        <w:tc>
          <w:tcPr>
            <w:tcW w:type="dxa" w:w="4500"/>
          </w:tcPr>
          <w:p>
            <w:r>
              <w:t xml:space="preserve">gates(N) = 10 × N two-qubit gates, for a register of N qubits [MA5, calibrated to S2]</w:t>
            </w:r>
          </w:p>
        </w:tc>
      </w:tr>
      <w:tr>
        <w:tc>
          <w:tcPr>
            <w:tcW w:type="dxa" w:w="4500"/>
          </w:tcPr>
          <w:p>
            <w:r>
              <w:t xml:space="preserve">Gate count at 20 qubits (Option A), from the model</w:t>
            </w:r>
          </w:p>
        </w:tc>
        <w:tc>
          <w:tcPr>
            <w:tcW w:type="dxa" w:w="4500"/>
          </w:tcPr>
          <w:p>
            <w:r>
              <w:t xml:space="preserve">10 × 20 = </w:t>
            </w:r>
            <w:r>
              <w:rPr>
                <w:b/>
                <w:bCs/>
              </w:rPr>
              <w:t xml:space="preserve">200</w:t>
            </w:r>
            <w:r>
              <w:t xml:space="preserve"> two-qubit gates — matches the real anchor exactly [S2]</w:t>
            </w:r>
          </w:p>
        </w:tc>
      </w:tr>
      <w:tr>
        <w:tc>
          <w:tcPr>
            <w:tcW w:type="dxa" w:w="4500"/>
          </w:tcPr>
          <w:p>
            <w:r>
              <w:t xml:space="preserve">Gate count at 24 qubits (Option B), from the model</w:t>
            </w:r>
          </w:p>
        </w:tc>
        <w:tc>
          <w:tcPr>
            <w:tcW w:type="dxa" w:w="4500"/>
          </w:tcPr>
          <w:p>
            <w:r>
              <w:t xml:space="preserve">10 × 24 = </w:t>
            </w:r>
            <w:r>
              <w:rPr>
                <w:b/>
                <w:bCs/>
              </w:rPr>
              <w:t xml:space="preserve">240</w:t>
            </w:r>
            <w:r>
              <w:t xml:space="preserve"> two-qubit gates [MA5]</w:t>
            </w:r>
          </w:p>
        </w:tc>
      </w:tr>
    </w:tbl>
    <w:p/>
    <w:p>
      <w:pPr>
        <w:spacing w:after="150"/>
      </w:pPr>
      <w:r>
        <w:rPr>
          <w:i/>
          <w:iCs/>
        </w:rPr>
        <w:t xml:space="preserve">Note on the gate-count model (MA5): IonQ's own #AQ benchmark methodology defines a passing reference circuit at width n as needing up to n² two-qubit gates (so 20² = 400, 24² = 576) — but that n² figure describes IonQ's own synthetic worst-case benchmark circuits, not necessarily a real application circuit. The same published paper's own real application-circuit examples show gate counts well below n² at comparable widths (SEE APPENDIX F, S2). This case therefore uses the simpler, directly-calibrated linear model above (10 gates/qubit, matched exactly to the paper's own stated real anchor at width ≈20) rather than the n² worst-case formula. See the Modeling Assumptions block for the sensitivity of the margin to this modeling choice — it is not small.</w:t>
      </w:r>
    </w:p>
    <w:p>
      <w:pPr>
        <w:pStyle w:val="Heading1"/>
        <w:spacing w:after="150" w:before="300"/>
      </w:pPr>
      <w:r>
        <w:t xml:space="preserve">Appendix E: Cost Per Successfully-Completed Shot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DDDD" w:val="clear"/>
          </w:tcPr>
          <w:p>
            <w:r>
              <w:t xml:space="preserve">Step</w:t>
            </w:r>
          </w:p>
        </w:tc>
        <w:tc>
          <w:tcPr>
            <w:tcW w:type="dxa" w:w="3000"/>
            <w:shd w:fill="DDDDDD" w:val="clear"/>
          </w:tcPr>
          <w:p>
            <w:r>
              <w:t xml:space="preserve">Option A (20 qubits)</w:t>
            </w:r>
          </w:p>
        </w:tc>
        <w:tc>
          <w:tcPr>
            <w:tcW w:type="dxa" w:w="3000"/>
            <w:shd w:fill="DDDDDD" w:val="clear"/>
          </w:tcPr>
          <w:p>
            <w:r>
              <w:t xml:space="preserve">Option B (24 qubits)</w:t>
            </w:r>
          </w:p>
        </w:tc>
      </w:tr>
      <w:tr>
        <w:tc>
          <w:tcPr>
            <w:tcW w:type="dxa" w:w="3000"/>
          </w:tcPr>
          <w:p>
            <w:r>
              <w:t xml:space="preserve">Two-qubit gates in the circuit (Appendix D)</w:t>
            </w:r>
          </w:p>
        </w:tc>
        <w:tc>
          <w:tcPr>
            <w:tcW w:type="dxa" w:w="3000"/>
          </w:tcPr>
          <w:p>
            <w:r>
              <w:t xml:space="preserve">200</w:t>
            </w:r>
          </w:p>
        </w:tc>
        <w:tc>
          <w:tcPr>
            <w:tcW w:type="dxa" w:w="3000"/>
          </w:tcPr>
          <w:p>
            <w:r>
              <w:t xml:space="preserve">240</w:t>
            </w:r>
          </w:p>
        </w:tc>
      </w:tr>
      <w:tr>
        <w:tc>
          <w:tcPr>
            <w:tcW w:type="dxa" w:w="3000"/>
          </w:tcPr>
          <w:p>
            <w:r>
              <w:t xml:space="preserve">Below-threshold success probability: (1 − 0.00464)^(gates)</w:t>
            </w:r>
          </w:p>
        </w:tc>
        <w:tc>
          <w:tcPr>
            <w:tcW w:type="dxa" w:w="3000"/>
          </w:tcPr>
          <w:p>
            <w:r>
              <w:t xml:space="preserve">(1 − 0.00464)²⁰⁰ ≈ </w:t>
            </w:r>
            <w:r>
              <w:rPr>
                <w:b/>
                <w:bCs/>
              </w:rPr>
              <w:t xml:space="preserve">0.3945</w:t>
            </w:r>
            <w:r>
              <w:t xml:space="preserve"> [computed]</w:t>
            </w:r>
          </w:p>
        </w:tc>
        <w:tc>
          <w:tcPr>
            <w:tcW w:type="dxa" w:w="3000"/>
          </w:tcPr>
          <w:p>
            <w:r>
              <w:t xml:space="preserve">(1 − 0.00464)²⁴⁰ ≈ </w:t>
            </w:r>
            <w:r>
              <w:rPr>
                <w:b/>
                <w:bCs/>
              </w:rPr>
              <w:t xml:space="preserve">0.3275</w:t>
            </w:r>
            <w:r>
              <w:t xml:space="preserve"> [computed]</w:t>
            </w:r>
          </w:p>
        </w:tc>
      </w:tr>
      <w:tr>
        <w:tc>
          <w:tcPr>
            <w:tcW w:type="dxa" w:w="3000"/>
          </w:tcPr>
          <w:p>
            <w:r>
              <w:t xml:space="preserve">Per-shot price (Appendix B/C)</w:t>
            </w:r>
          </w:p>
        </w:tc>
        <w:tc>
          <w:tcPr>
            <w:tcW w:type="dxa" w:w="3000"/>
          </w:tcPr>
          <w:p>
            <w:r>
              <w:t xml:space="preserve">$0.08 [S1]</w:t>
            </w:r>
          </w:p>
        </w:tc>
        <w:tc>
          <w:tcPr>
            <w:tcW w:type="dxa" w:w="3000"/>
          </w:tcPr>
          <w:p>
            <w:r>
              <w:t xml:space="preserve">$0.08 [S1]</w:t>
            </w:r>
          </w:p>
        </w:tc>
      </w:tr>
      <w:tr>
        <w:tc>
          <w:tcPr>
            <w:tcW w:type="dxa" w:w="3000"/>
          </w:tcPr>
          <w:p>
            <w:r>
              <w:t xml:space="preserve">Dollars per successfully-completed shot = price ÷ success probability</w:t>
            </w:r>
          </w:p>
        </w:tc>
        <w:tc>
          <w:tcPr>
            <w:tcW w:type="dxa" w:w="3000"/>
          </w:tcPr>
          <w:p>
            <w:r>
              <w:t xml:space="preserve">$0.08 ÷ 0.3945 ≈ </w:t>
            </w:r>
            <w:r>
              <w:rPr>
                <w:b/>
                <w:bCs/>
              </w:rPr>
              <w:t xml:space="preserve">$0.2028</w:t>
            </w:r>
          </w:p>
        </w:tc>
        <w:tc>
          <w:tcPr>
            <w:tcW w:type="dxa" w:w="3000"/>
          </w:tcPr>
          <w:p>
            <w:r>
              <w:t xml:space="preserve">$0.08 ÷ 0.3275 ≈ </w:t>
            </w:r>
            <w:r>
              <w:rPr>
                <w:b/>
                <w:bCs/>
              </w:rPr>
              <w:t xml:space="preserve">$0.2443</w:t>
            </w:r>
          </w:p>
        </w:tc>
      </w:tr>
      <w:tr>
        <w:tc>
          <w:tcPr>
            <w:tcW w:type="dxa" w:w="3000"/>
          </w:tcPr>
          <w:p>
            <w:r>
              <w:t xml:space="preserve">Same, scaled to cost per 1,000 successful shots</w:t>
            </w:r>
          </w:p>
        </w:tc>
        <w:tc>
          <w:tcPr>
            <w:tcW w:type="dxa" w:w="3000"/>
          </w:tcPr>
          <w:p>
            <w:r>
              <w:t xml:space="preserve">≈ </w:t>
            </w:r>
            <w:r>
              <w:rPr>
                <w:b/>
                <w:bCs/>
              </w:rPr>
              <w:t xml:space="preserve">$202.79</w:t>
            </w:r>
          </w:p>
        </w:tc>
        <w:tc>
          <w:tcPr>
            <w:tcW w:type="dxa" w:w="3000"/>
          </w:tcPr>
          <w:p>
            <w:r>
              <w:t xml:space="preserve">≈ </w:t>
            </w:r>
            <w:r>
              <w:rPr>
                <w:b/>
                <w:bCs/>
              </w:rPr>
              <w:t xml:space="preserve">$244.26</w:t>
            </w:r>
          </w:p>
        </w:tc>
      </w:tr>
    </w:tbl>
    <w:p/>
    <w:p>
      <w:pPr>
        <w:spacing w:after="150"/>
      </w:pPr>
      <w:r>
        <w:rPr>
          <w:i/>
          <w:iCs/>
        </w:rPr>
        <w:t xml:space="preserve">D4 asks you to compute the percent margin between these two cost-per-successful-shot figures yourself — that comparison is not worked out here.</w:t>
      </w:r>
    </w:p>
    <w:p>
      <w:pPr>
        <w:pStyle w:val="Heading1"/>
        <w:spacing w:after="150" w:before="300"/>
      </w:pPr>
      <w:r>
        <w:t xml:space="preserve">Appendix F: 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DDDDD" w:val="clear"/>
          </w:tcPr>
          <w:p>
            <w:r>
              <w:t xml:space="preserve">#</w:t>
            </w:r>
          </w:p>
        </w:tc>
        <w:tc>
          <w:tcPr>
            <w:tcW w:type="dxa" w:w="1500"/>
            <w:shd w:fill="DDDDDD" w:val="clear"/>
          </w:tcPr>
          <w:p>
            <w:r>
              <w:t xml:space="preserve">Claim</w:t>
            </w:r>
          </w:p>
        </w:tc>
        <w:tc>
          <w:tcPr>
            <w:tcW w:type="dxa" w:w="1500"/>
            <w:shd w:fill="DDDDDD" w:val="clear"/>
          </w:tcPr>
          <w:p>
            <w:r>
              <w:t xml:space="preserve">Value</w:t>
            </w:r>
          </w:p>
        </w:tc>
        <w:tc>
          <w:tcPr>
            <w:tcW w:type="dxa" w:w="1500"/>
            <w:shd w:fill="DDDDDD" w:val="clear"/>
          </w:tcPr>
          <w:p>
            <w:r>
              <w:t xml:space="preserve">Source</w:t>
            </w:r>
          </w:p>
        </w:tc>
        <w:tc>
          <w:tcPr>
            <w:tcW w:type="dxa" w:w="1500"/>
            <w:shd w:fill="DDDDDD" w:val="clear"/>
          </w:tcPr>
          <w:p>
            <w:r>
              <w:t xml:space="preserve">Date</w:t>
            </w:r>
          </w:p>
        </w:tc>
        <w:tc>
          <w:tcPr>
            <w:tcW w:type="dxa" w:w="1500"/>
            <w:shd w:fill="DDDDDD" w:val="clear"/>
          </w:tcPr>
          <w:p>
            <w:r>
              <w:t xml:space="preserve">Confidence</w:t>
            </w:r>
          </w:p>
        </w:tc>
      </w:tr>
      <w:tr>
        <w:tc>
          <w:tcPr>
            <w:tcW w:type="dxa" w:w="1500"/>
          </w:tcPr>
          <w:p>
            <w:r>
              <w:t xml:space="preserve">S1</w:t>
            </w:r>
          </w:p>
        </w:tc>
        <w:tc>
          <w:tcPr>
            <w:tcW w:type="dxa" w:w="1500"/>
          </w:tcPr>
          <w:p>
            <w:r>
              <w:t xml:space="preserve">Amazon Braket per-shot and per-task pricing for the IonQ Forte QPU</w:t>
            </w:r>
          </w:p>
        </w:tc>
        <w:tc>
          <w:tcPr>
            <w:tcW w:type="dxa" w:w="1500"/>
          </w:tcPr>
          <w:p>
            <w:r>
              <w:t xml:space="preserve">$0.08/shot, $0.30/task</w:t>
            </w:r>
          </w:p>
        </w:tc>
        <w:tc>
          <w:tcPr>
            <w:tcW w:type="dxa" w:w="1500"/>
          </w:tcPr>
          <w:p>
            <w:r>
              <w:t xml:space="preserve">Amazon Web Services — </w:t>
            </w:r>
            <w:hyperlink w:history="1" r:id="rIdrvc3mxh38mxnnb1cxkkja">
              <w:r>
                <w:rPr>
                  <w:rStyle w:val="Hyperlink"/>
                </w:rPr>
                <w:t xml:space="preserve">Amazon Braket Pricing</w:t>
              </w:r>
            </w:hyperlink>
          </w:p>
        </w:tc>
        <w:tc>
          <w:tcPr>
            <w:tcW w:type="dxa" w:w="1500"/>
          </w:tcPr>
          <w:p>
            <w:r>
              <w:t xml:space="preserve">Accessed 2026-09-01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500"/>
          </w:tcPr>
          <w:p>
            <w:r>
              <w:t xml:space="preserve">S2</w:t>
            </w:r>
          </w:p>
        </w:tc>
        <w:tc>
          <w:tcPr>
            <w:tcW w:type="dxa" w:w="1500"/>
          </w:tcPr>
          <w:p>
            <w:r>
              <w:t xml:space="preserve">Median two-qubit gate error rate on IonQ Forte, and the real published circuit-width-vs-sustainable-gate-count anchor (≈200 two-qubit gates at width ≈20 before fidelity crosses the 1/e #AQ threshold; #AQ definition dc ≤ n²)</w:t>
            </w:r>
          </w:p>
        </w:tc>
        <w:tc>
          <w:tcPr>
            <w:tcW w:type="dxa" w:w="1500"/>
          </w:tcPr>
          <w:p>
            <w:r>
              <w:t xml:space="preserve">Median error 46.4×10⁻⁴ (0.464%); ≈200 two-qubit gates at width ≈20</w:t>
            </w:r>
          </w:p>
        </w:tc>
        <w:tc>
          <w:tcPr>
            <w:tcW w:type="dxa" w:w="1500"/>
          </w:tcPr>
          <w:p>
            <w:r>
              <w:t xml:space="preserve">Chen, Nielsen, Ebert, Inlek, Wright, Chaplin, Maksymov, Páez, Poudel, Maunz, Gamble (IonQ) — </w:t>
            </w:r>
            <w:hyperlink w:history="1" r:id="rIdufacct7lsw7mmo-mbgiml">
              <w:r>
                <w:rPr>
                  <w:rStyle w:val="Hyperlink"/>
                </w:rPr>
                <w:t xml:space="preserve">"Benchmarking a trapped-ion quantum computer with 30 qubits"</w:t>
              </w:r>
            </w:hyperlink>
            <w:r>
              <w:t xml:space="preserve">, arXiv:2308.05071v2</w:t>
            </w:r>
          </w:p>
        </w:tc>
        <w:tc>
          <w:tcPr>
            <w:tcW w:type="dxa" w:w="1500"/>
          </w:tcPr>
          <w:p>
            <w:r>
              <w:t xml:space="preserve">2024-11-02 (v2)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500"/>
          </w:tcPr>
          <w:p>
            <w:r>
              <w:t xml:space="preserve">S3</w:t>
            </w:r>
          </w:p>
        </w:tc>
        <w:tc>
          <w:tcPr>
            <w:tcW w:type="dxa" w:w="1500"/>
          </w:tcPr>
          <w:p>
            <w:r>
              <w:t xml:space="preserve">Contrasting cloud-quantum billing model: IBM Quantum bills by QPU time, not by shot</w:t>
            </w:r>
          </w:p>
        </w:tc>
        <w:tc>
          <w:tcPr>
            <w:tcW w:type="dxa" w:w="1500"/>
          </w:tcPr>
          <w:p>
            <w:r>
              <w:t xml:space="preserve">Pay-As-You-Go Plan: "Pay for the quantum computer access you use. Billed per second of usage. Starts at $96 USD / minute"</w:t>
            </w:r>
          </w:p>
        </w:tc>
        <w:tc>
          <w:tcPr>
            <w:tcW w:type="dxa" w:w="1500"/>
          </w:tcPr>
          <w:p>
            <w:r>
              <w:t xml:space="preserve">IBM — </w:t>
            </w:r>
            <w:hyperlink w:history="1" r:id="rIdm2bf37j1md6tdzkfkemdd">
              <w:r>
                <w:rPr>
                  <w:rStyle w:val="Hyperlink"/>
                </w:rPr>
                <w:t xml:space="preserve">IBM Quantum Computing: Products and services / pricing plans</w:t>
              </w:r>
            </w:hyperlink>
          </w:p>
        </w:tc>
        <w:tc>
          <w:tcPr>
            <w:tcW w:type="dxa" w:w="1500"/>
          </w:tcPr>
          <w:p>
            <w:r>
              <w:t xml:space="preserve">Accessed 2026-09-01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500"/>
          </w:tcPr>
          <w:p>
            <w:r>
              <w:t xml:space="preserve">S4</w:t>
            </w:r>
          </w:p>
        </w:tc>
        <w:tc>
          <w:tcPr>
            <w:tcW w:type="dxa" w:w="1500"/>
          </w:tcPr>
          <w:p>
            <w:r>
              <w:t xml:space="preserve">Real published two-qubit gate fidelity for a different superconducting-qubit cloud QPU family, used only as color confirming that gate error rates on real, currently-offered hardware vary by device family, not as a load-bearing figure in this case's own computation</w:t>
            </w:r>
          </w:p>
        </w:tc>
        <w:tc>
          <w:tcPr>
            <w:tcW w:type="dxa" w:w="1500"/>
          </w:tcPr>
          <w:p>
            <w:r>
              <w:t xml:space="preserve">Median two-qubit gate fidelity 99.1% (108-qubit device)</w:t>
            </w:r>
          </w:p>
        </w:tc>
        <w:tc>
          <w:tcPr>
            <w:tcW w:type="dxa" w:w="1500"/>
          </w:tcPr>
          <w:p>
            <w:r>
              <w:t xml:space="preserve">Amazon Web Services — </w:t>
            </w:r>
            <w:hyperlink w:history="1" r:id="rId4lkdq2ihlhrky_zio4i49">
              <w:r>
                <w:rPr>
                  <w:rStyle w:val="Hyperlink"/>
                </w:rPr>
                <w:t xml:space="preserve">Amazon Braket launches Rigetti Cepheus-1-108Q superconducting device</w:t>
              </w:r>
            </w:hyperlink>
          </w:p>
        </w:tc>
        <w:tc>
          <w:tcPr>
            <w:tcW w:type="dxa" w:w="1500"/>
          </w:tcPr>
          <w:p>
            <w:r>
              <w:t xml:space="preserve">Accessed 2026-09-01</w:t>
            </w:r>
          </w:p>
        </w:tc>
        <w:tc>
          <w:tcPr>
            <w:tcW w:type="dxa" w:w="1500"/>
          </w:tcPr>
          <w:p>
            <w:r>
              <w:t xml:space="preserve">MEDIUM — real and directly fetched, but describes a different device family (Rigetti, not IonQ) than the one this case's own computation uses; included as background color, not as a computation input</w:t>
            </w:r>
          </w:p>
        </w:tc>
      </w:tr>
    </w:tbl>
    <w:p/>
    <w:p>
      <w:pPr>
        <w:spacing w:after="150"/>
      </w:pPr>
      <w:r>
        <w:rPr>
          <w:i/>
          <w:iCs/>
        </w:rPr>
        <w:t xml:space="preserve">Unit note: "1/e" in Appendix D/S2 refers to a fidelity of 1/e ≈ 0.368 (36.8%), the specific threshold IonQ's own Algorithmic Qubits (#AQ) benchmark uses to define whether a circuit of a given width and gate count "passes."</w:t>
      </w:r>
    </w:p>
    <w:p>
      <w:pPr>
        <w:pStyle w:val="Heading1"/>
        <w:spacing w:after="150" w:before="300"/>
      </w:pPr>
      <w:r>
        <w:t xml:space="preserve">Modeling Assumptions</w:t>
      </w:r>
    </w:p>
    <w:p>
      <w:pPr>
        <w:pBdr>
          <w:left w:val="single" w:color="AAAAAA" w:sz="12" w:space="8"/>
        </w:pBdr>
        <w:ind w:left="720"/>
      </w:pPr>
      <w:r>
        <w:t xml:space="preserve">These figures are either pure scenario flavor (the fictional Latticeworks' own budget and deadline) or a stated, disclosed modeling choice used to bridge from the one real published data point (S2's width-≈20, ≈200-gate anchor) to the 24-qubit case S2 does not directly measure. A Hero may challenge any of them in discussion — that is a legitimate move.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DDDD" w:val="clear"/>
          </w:tcPr>
          <w:p>
            <w:r>
              <w:t xml:space="preserve">#</w:t>
            </w:r>
          </w:p>
        </w:tc>
        <w:tc>
          <w:tcPr>
            <w:tcW w:type="dxa" w:w="1800"/>
            <w:shd w:fill="DDDDDD" w:val="clear"/>
          </w:tcPr>
          <w:p>
            <w:r>
              <w:t xml:space="preserve">Assumption</w:t>
            </w:r>
          </w:p>
        </w:tc>
        <w:tc>
          <w:tcPr>
            <w:tcW w:type="dxa" w:w="1800"/>
            <w:shd w:fill="DDDDDD" w:val="clear"/>
          </w:tcPr>
          <w:p>
            <w:r>
              <w:t xml:space="preserve">Value used</w:t>
            </w:r>
          </w:p>
        </w:tc>
        <w:tc>
          <w:tcPr>
            <w:tcW w:type="dxa" w:w="1800"/>
            <w:shd w:fill="DDDDDD" w:val="clear"/>
          </w:tcPr>
          <w:p>
            <w:r>
              <w:t xml:space="preserve">Basis</w:t>
            </w:r>
          </w:p>
        </w:tc>
        <w:tc>
          <w:tcPr>
            <w:tcW w:type="dxa" w:w="1800"/>
            <w:shd w:fill="DDDDDD" w:val="clear"/>
          </w:tcPr>
          <w:p>
            <w:r>
              <w:t xml:space="preserve">Sensitivity</w:t>
            </w:r>
          </w:p>
        </w:tc>
      </w:tr>
      <w:tr>
        <w:tc>
          <w:tcPr>
            <w:tcW w:type="dxa" w:w="1800"/>
          </w:tcPr>
          <w:p>
            <w:r>
              <w:t xml:space="preserve">MA1</w:t>
            </w:r>
          </w:p>
        </w:tc>
        <w:tc>
          <w:tcPr>
            <w:tcW w:type="dxa" w:w="1800"/>
          </w:tcPr>
          <w:p>
            <w:r>
              <w:t xml:space="preserve">Number of independent binary decision variables in the client's routing problem</w:t>
            </w:r>
          </w:p>
        </w:tc>
        <w:tc>
          <w:tcPr>
            <w:tcW w:type="dxa" w:w="1800"/>
          </w:tcPr>
          <w:p>
            <w:r>
              <w:t xml:space="preserve">24</w:t>
            </w:r>
          </w:p>
        </w:tc>
        <w:tc>
          <w:tcPr>
            <w:tcW w:type="dxa" w:w="1800"/>
          </w:tcPr>
          <w:p>
            <w:r>
              <w:t xml:space="preserve">Scenario construction — chosen to match the case's 20-vs-24-qubit register comparison exactly.</w:t>
            </w:r>
          </w:p>
        </w:tc>
        <w:tc>
          <w:tcPr>
            <w:tcW w:type="dxa" w:w="1800"/>
          </w:tcPr>
          <w:p>
            <w:r>
              <w:t xml:space="preserve">Sets the frame (this is why 24 qubits is "exact"), but is not itself part of the margin arithmetic.</w:t>
            </w:r>
          </w:p>
        </w:tc>
      </w:tr>
      <w:tr>
        <w:tc>
          <w:tcPr>
            <w:tcW w:type="dxa" w:w="1800"/>
          </w:tcPr>
          <w:p>
            <w:r>
              <w:t xml:space="preserve">MA2</w:t>
            </w:r>
          </w:p>
        </w:tc>
        <w:tc>
          <w:tcPr>
            <w:tcW w:type="dxa" w:w="1800"/>
          </w:tcPr>
          <w:p>
            <w:r>
              <w:t xml:space="preserve">Whether this quarter's budget comfortably covers each option</w:t>
            </w:r>
          </w:p>
        </w:tc>
        <w:tc>
          <w:tcPr>
            <w:tcW w:type="dxa" w:w="1800"/>
          </w:tcPr>
          <w:p>
            <w:r>
              <w:t xml:space="preserve">Covers A; does not comfortably cover B</w:t>
            </w:r>
          </w:p>
        </w:tc>
        <w:tc>
          <w:tcPr>
            <w:tcW w:type="dxa" w:w="1800"/>
          </w:tcPr>
          <w:p>
            <w:r>
              <w:t xml:space="preserve">Narrative framing matching the Overview and Dilemma — not a specific dollar figure, so not load-bearing on the margin computation.</w:t>
            </w:r>
          </w:p>
        </w:tc>
        <w:tc>
          <w:tcPr>
            <w:tcW w:type="dxa" w:w="1800"/>
          </w:tcPr>
          <w:p>
            <w:r>
              <w:t xml:space="preserve">None — flavor/framing only.</w:t>
            </w:r>
          </w:p>
        </w:tc>
      </w:tr>
      <w:tr>
        <w:tc>
          <w:tcPr>
            <w:tcW w:type="dxa" w:w="1800"/>
          </w:tcPr>
          <w:p>
            <w:r>
              <w:t xml:space="preserve">MA3</w:t>
            </w:r>
          </w:p>
        </w:tc>
        <w:tc>
          <w:tcPr>
            <w:tcW w:type="dxa" w:w="1800"/>
          </w:tcPr>
          <w:p>
            <w:r>
              <w:t xml:space="preserve">What happens to the 4 lanes the 20-qubit register can't cover</w:t>
            </w:r>
          </w:p>
        </w:tc>
        <w:tc>
          <w:tcPr>
            <w:tcW w:type="dxa" w:w="1800"/>
          </w:tcPr>
          <w:p>
            <w:r>
              <w:t xml:space="preserve">Classical fallback heuristic</w:t>
            </w:r>
          </w:p>
        </w:tc>
        <w:tc>
          <w:tcPr>
            <w:tcW w:type="dxa" w:w="1800"/>
          </w:tcPr>
          <w:p>
            <w:r>
              <w:t xml:space="preserve">Standard real-world practice when a quantum register is smaller than a problem's variable count (hybrid quantum-classical decomposition) — not a specific sourced technique, stated as scenario detail.</w:t>
            </w:r>
          </w:p>
        </w:tc>
        <w:tc>
          <w:tcPr>
            <w:tcW w:type="dxa" w:w="1800"/>
          </w:tcPr>
          <w:p>
            <w:r>
              <w:t xml:space="preserve">Does not enter the margin arithmetic; it is the </w:t>
            </w:r>
            <w:r>
              <w:rPr>
                <w:i/>
                <w:iCs/>
              </w:rPr>
              <w:t xml:space="preserve">qualitative</w:t>
            </w:r>
            <w:r>
              <w:t xml:space="preserve"> cost of Option A the numbers don't capture (see Balance argument).</w:t>
            </w:r>
          </w:p>
        </w:tc>
      </w:tr>
      <w:tr>
        <w:tc>
          <w:tcPr>
            <w:tcW w:type="dxa" w:w="1800"/>
          </w:tcPr>
          <w:p>
            <w:r>
              <w:t xml:space="preserve">MA4</w:t>
            </w:r>
          </w:p>
        </w:tc>
        <w:tc>
          <w:tcPr>
            <w:tcW w:type="dxa" w:w="1800"/>
          </w:tcPr>
          <w:p>
            <w:r>
              <w:t xml:space="preserve">Days until Sam's recommendation is due</w:t>
            </w:r>
          </w:p>
        </w:tc>
        <w:tc>
          <w:tcPr>
            <w:tcW w:type="dxa" w:w="1800"/>
          </w:tcPr>
          <w:p>
            <w:r>
              <w:t xml:space="preserve">2 days</w:t>
            </w:r>
          </w:p>
        </w:tc>
        <w:tc>
          <w:tcPr>
            <w:tcW w:type="dxa" w:w="1800"/>
          </w:tcPr>
          <w:p>
            <w:r>
              <w:t xml:space="preserve">Matches the Overview's "thirty seconds left on the shared screen" urgency framing.</w:t>
            </w:r>
          </w:p>
        </w:tc>
        <w:tc>
          <w:tcPr>
            <w:tcW w:type="dxa" w:w="1800"/>
          </w:tcPr>
          <w:p>
            <w:r>
              <w:t xml:space="preserve">None — flavor only.</w:t>
            </w:r>
          </w:p>
        </w:tc>
      </w:tr>
      <w:tr>
        <w:tc>
          <w:tcPr>
            <w:tcW w:type="dxa" w:w="1800"/>
          </w:tcPr>
          <w:p>
            <w:r>
              <w:t xml:space="preserve">MA5</w:t>
            </w:r>
          </w:p>
        </w:tc>
        <w:tc>
          <w:tcPr>
            <w:tcW w:type="dxa" w:w="1800"/>
          </w:tcPr>
          <w:p>
            <w:r>
              <w:t xml:space="preserve">Gate-count model: gates(N) = 10 × N two-qubit gates</w:t>
            </w:r>
          </w:p>
        </w:tc>
        <w:tc>
          <w:tcPr>
            <w:tcW w:type="dxa" w:w="1800"/>
          </w:tcPr>
          <w:p>
            <w:r>
              <w:t xml:space="preserve">200 gates at N=20 (exact match to S2's real anchor); 240 gates at N=24 (extrapolated)</w:t>
            </w:r>
          </w:p>
        </w:tc>
        <w:tc>
          <w:tcPr>
            <w:tcW w:type="dxa" w:w="1800"/>
          </w:tcPr>
          <w:p>
            <w:r>
              <w:t xml:space="preserve">Calibrated so the model exactly reproduces S2's own stated real anchor (≈200 two-qubit gates sustainable at width ≈20 before crossing the 1/e threshold), then extended linearly to N=24.</w:t>
            </w:r>
          </w:p>
        </w:tc>
        <w:tc>
          <w:tcPr>
            <w:tcW w:type="dxa" w:w="1800"/>
          </w:tcPr>
          <w:p>
            <w:r>
              <w:rPr>
                <w:b/>
                <w:bCs/>
              </w:rPr>
              <w:t xml:space="preserve">HIGH — this is the single most margin-determining modeling choice in the case.</w:t>
            </w:r>
            <w:r>
              <w:t xml:space="preserve"> Using IonQ's own #AQ worst-case formula (gates = N²) instead of this calibrated linear model would put gates at 400 (N=20) and 576 (N=24) instead of 200 and 240 — same winner, but a substantially wider, much less close race. See D4 for your own computed margin under each model.</w:t>
            </w:r>
          </w:p>
        </w:tc>
      </w:tr>
    </w:tbl>
    <w:p/>
    <w:p>
      <w:pPr>
        <w:pStyle w:val="Heading2"/>
        <w:spacing w:after="120" w:before="250"/>
      </w:pPr>
      <w:r>
        <w:t xml:space="preserve">Appendix G — "How To…" Math Questions To Research</w:t>
      </w:r>
    </w:p>
    <w:p>
      <w:pPr>
        <w:spacing w:after="150"/>
      </w:pPr>
      <w:r>
        <w:rPr>
          <w:b/>
          <w:bCs/>
        </w:rPr>
        <w:t xml:space="preserve">Vocabulary terms</w:t>
      </w:r>
    </w:p>
    <w:p>
      <w:pPr>
        <w:pStyle w:val="ListParagraph"/>
        <w:numPr>
          <w:ilvl w:val="0"/>
          <w:numId w:val="1"/>
        </w:numPr>
      </w:pPr>
      <w:r>
        <w:t xml:space="preserve">Exponent (also Power)</w:t>
      </w:r>
    </w:p>
    <w:p>
      <w:pPr>
        <w:pStyle w:val="ListParagraph"/>
        <w:numPr>
          <w:ilvl w:val="0"/>
          <w:numId w:val="1"/>
        </w:numPr>
      </w:pPr>
      <w:r>
        <w:t xml:space="preserve">Base</w:t>
      </w:r>
    </w:p>
    <w:p>
      <w:pPr>
        <w:spacing w:after="150"/>
      </w:pPr>
      <w:r>
        <w:rPr>
          <w:b/>
          <w:bCs/>
        </w:rPr>
        <w:t xml:space="preserve">"How to…" questions</w:t>
      </w:r>
    </w:p>
    <w:p>
      <w:pPr>
        <w:pStyle w:val="ListParagraph"/>
        <w:numPr>
          <w:ilvl w:val="0"/>
          <w:numId w:val="1"/>
        </w:numPr>
      </w:pPr>
      <w:r>
        <w:t xml:space="preserve">How to evaluate an exponential expression</w:t>
      </w:r>
    </w:p>
    <w:p>
      <w:pPr>
        <w:pStyle w:val="ListParagraph"/>
        <w:numPr>
          <w:ilvl w:val="0"/>
          <w:numId w:val="1"/>
        </w:numPr>
      </w:pPr>
      <w:r>
        <w:t xml:space="preserve">How to evaluate an expression with multiple operations with exponents (Order Of Operations)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c3mxh38mxnnb1cxkkja" Type="http://schemas.openxmlformats.org/officeDocument/2006/relationships/hyperlink" Target="https://aws.amazon.com/braket/pricing/" TargetMode="External"/><Relationship Id="rIdufacct7lsw7mmo-mbgiml" Type="http://schemas.openxmlformats.org/officeDocument/2006/relationships/hyperlink" Target="https://arxiv.org/abs/2308.05071" TargetMode="External"/><Relationship Id="rIdm2bf37j1md6tdzkfkemdd" Type="http://schemas.openxmlformats.org/officeDocument/2006/relationships/hyperlink" Target="https://www.ibm.com/quantum/products" TargetMode="External"/><Relationship Id="rId4lkdq2ihlhrky_zio4i49" Type="http://schemas.openxmlformats.org/officeDocument/2006/relationships/hyperlink" Target="https://aws.amazon.com/blogs/quantum-computing/amazon-braket-launches-rigetti-cepheus-1-108q-superconducting-device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2026-09-02T00:04:44.582Z</dcterms:created>
  <dcterms:modified xsi:type="dcterms:W3CDTF">2026-09-02T00:04:44.585Z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