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Fold Line</w:t>
      </w:r>
    </w:p>
    <w:p>
      <w:pPr>
        <w:spacing w:after="240"/>
        <w:jc w:val="center"/>
      </w:pPr>
      <w:r>
        <w:rPr>
          <w:i/>
          <w:iCs/>
          <w:sz w:val="22"/>
          <w:szCs w:val="22"/>
        </w:rPr>
        <w:t xml:space="preserve"/>
      </w:r>
    </w:p>
    <w:p>
      <w:r>
        <w:t xml:space="preserve">MS | Math | Case Study | 2026-27 | Adventure</w:t>
      </w:r>
    </w:p>
    <w:p>
      <w:pPr>
        <w:pStyle w:val="Heading2"/>
        <w:spacing w:after="120" w:before="240"/>
      </w:pPr>
      <w:r>
        <w:t xml:space="preserve">Overview</w:t>
      </w:r>
    </w:p>
    <w:p>
      <w:r>
        <w:t xml:space="preserve">Priya Nakamura runs her thumbnail down the chalk line on the bolt of fabric and doesn't like what she sees. Behind her, the cutting room's twelve tables are already stacked with tomorrow's tickets, and the big rotary cutter at station three is still ticking as it cools. She's been staring at the same folded half-pattern for ten minutes, turning it over, laying it flat, folding it back.</w:t>
      </w:r>
    </w:p>
    <w:p>
      <w:r>
        <w:t xml:space="preserve">Every bodice front the shop cuts starts the same way: a pattern piece, a bolt of fabric, and a choice her cutters make a hundred times a shift without thinking about it. Fold the fabric and trace one line, and the piece comes off symmetric, free — but the fold pins the piece in place, and there's no way to shift it to use the fabric better. Or open the fabric flat, trace the piece twice, flip the second copy, and nest the two mirror images together like puzzle pieces — tighter on the fabric, but twice the tracing, twice the cutting.</w:t>
      </w:r>
    </w:p>
    <w:p>
      <w:r>
        <w:t xml:space="preserve">She's run the numbers on this before, in her head, on scraps, in the margins of yesterday's cutting tickets. She's never actually written them down side by side. The shop's margin is thin enough that this decision, repeated three hundred times a day, either pads it or eats it — and nobody has told her which.</w:t>
      </w:r>
    </w:p>
    <w:p>
      <w:r>
        <w:t xml:space="preserve">Her supervisor is waiting by the door for her answer before the morning run starts. Priya picks up her tape measure and turns back to the table.</w:t>
      </w:r>
    </w:p>
    <w:p>
      <w:pPr>
        <w:pStyle w:val="Heading2"/>
        <w:spacing w:after="120" w:before="240"/>
      </w:pPr>
      <w:r>
        <w:t xml:space="preserve">Background</w:t>
      </w:r>
    </w:p>
    <w:p>
      <w:r>
        <w:t xml:space="preserve">Priya Nakamura is the cutting-room lead at a small-batch garment manufacturer that runs twelve cutting tables on a single 44-inch bolt line. She signs off on the cutting plan every morning, and any fabric wasted beyond what a plan predicts comes directly out of the shop's own margin — there is no separate materials budget to absorb it.</w:t>
      </w:r>
    </w:p>
    <w:p>
      <w:r>
        <w:t xml:space="preserve">The shop's highest-volume item is a fitted bodice front panel, cut fresh every day. Priya must choose, once, a standing rule for how every cutter on the floor cuts that panel from now on. Two methods are on the table:</w:t>
      </w:r>
    </w:p>
    <w:p>
      <w:r>
        <w:rPr>
          <w:b/>
          <w:bCs/>
        </w:rPr>
        <w:t xml:space="preserve">The Fold Cut</w:t>
      </w:r>
      <w:r>
        <w:t xml:space="preserve"> — fold the fabric in half along its length and lay the pattern's straight center-front edge exactly on the true fold. One tracing, one cutting pass through both layers, produces a complete, symmetric panel. Because the pattern's edge is locked to the fold, it cannot be rotated or shifted to avoid the curved waste at the armhole and side seam — a real, known industry effect called a marker's </w:t>
      </w:r>
      <w:r>
        <w:rPr>
          <w:i/>
          <w:iCs/>
        </w:rPr>
        <w:t xml:space="preserve">efficiency</w:t>
      </w:r>
      <w:r>
        <w:t xml:space="preserve">, the percentage of the fabric it uses that actually becomes garment rather than scrap (SEE APPENDIX D).</w:t>
      </w:r>
    </w:p>
    <w:p>
      <w:r>
        <w:rPr>
          <w:b/>
          <w:bCs/>
        </w:rPr>
        <w:t xml:space="preserve">The Open Cut</w:t>
      </w:r>
      <w:r>
        <w:t xml:space="preserve"> — lay the fabric flat, unfolded, and trace the </w:t>
      </w:r>
      <w:r>
        <w:rPr>
          <w:i/>
          <w:iCs/>
        </w:rPr>
        <w:t xml:space="preserve">complete</w:t>
      </w:r>
      <w:r>
        <w:t xml:space="preserve"> panel as two separate mirror-image half-pieces. Because each half is a free piece, not locked to a fold, it can be flipped and nested edge-to-edge against its mirror, closing up more of the curved gaps that the Fold Cut leaves behind. It also means tracing and cutting the panel twice instead of once.</w:t>
      </w:r>
    </w:p>
    <w:p>
      <w:r>
        <w:t xml:space="preserve">Every cutting decision has two costs, and they pull in opposite directions: the </w:t>
      </w:r>
      <w:r>
        <w:rPr>
          <w:b/>
          <w:bCs/>
        </w:rPr>
        <w:t xml:space="preserve">fabric</w:t>
      </w:r>
      <w:r>
        <w:t xml:space="preserve"> consumed per panel (SEE APPENDIX A, APPENDIX B, and APPENDIX D) and the </w:t>
      </w:r>
      <w:r>
        <w:rPr>
          <w:b/>
          <w:bCs/>
        </w:rPr>
        <w:t xml:space="preserve">cutting-room labor</w:t>
      </w:r>
      <w:r>
        <w:t xml:space="preserve"> spent marking and cutting it (SEE APPENDIX C). The shop's cutters are paid the same wage regardless of which method they use (SEE APPENDIX C), and the shop cuts the same 300 bodice fronts every day regardless of which method Priya picks. The panel's finished, sewn dimensions (SEE APPENDIX A) do not change between the two methods — only how much raw fabric and cutting time it takes to get there. None of the figures in this case are invented outright; every one is either cited to a real, live source or stated openly as a scenario assumption, with the basis for each assumption disclosed in </w:t>
      </w:r>
      <w:r>
        <w:rPr>
          <w:b/>
          <w:bCs/>
        </w:rPr>
        <w:t xml:space="preserve">APPENDIX E</w:t>
      </w:r>
      <w:r>
        <w:t xml:space="preserve">.</w:t>
      </w:r>
    </w:p>
    <w:p>
      <w:r>
        <w:t xml:space="preserve">The vocabulary and "how to…" skills this case will ask you to research are listed in </w:t>
      </w:r>
      <w:r>
        <w:rPr>
          <w:b/>
          <w:bCs/>
        </w:rPr>
        <w:t xml:space="preserve">APPENDIX F</w:t>
      </w:r>
      <w:r>
        <w:t xml:space="preserve"> — that is where Challenge 1 sends you. Every sourced figure and stated assumption in this case is documented in </w:t>
      </w:r>
      <w:r>
        <w:rPr>
          <w:b/>
          <w:bCs/>
        </w:rPr>
        <w:t xml:space="preserve">APPENDIX G</w:t>
      </w:r>
      <w:r>
        <w:t xml:space="preserve">.</w:t>
      </w:r>
    </w:p>
    <w:p>
      <w:r>
        <w:t xml:space="preserve">Priya's supervisor knocks on the door frame.</w:t>
      </w:r>
    </w:p>
    <w:p>
      <w:pPr>
        <w:pStyle w:val="Heading2"/>
        <w:spacing w:after="120" w:before="240"/>
      </w:pPr>
      <w:r>
        <w:t xml:space="preserve">Dilemma</w:t>
      </w:r>
    </w:p>
    <w:p>
      <w:r>
        <w:t xml:space="preserve">You are Priya Nakamura.</w:t>
      </w:r>
    </w:p>
    <w:p>
      <w:r>
        <w:t xml:space="preserve">Do you:</w:t>
      </w:r>
    </w:p>
    <w:p>
      <w:r>
        <w:rPr>
          <w:b/>
          <w:bCs/>
        </w:rPr>
        <w:t xml:space="preserve">A.)</w:t>
      </w:r>
      <w:r>
        <w:t xml:space="preserve"> Adopt the Fold Cut — one tracing and one cutting pass per panel, locked to the fabric's true fold </w:t>
      </w:r>
      <w:r>
        <w:rPr>
          <w:b/>
          <w:bCs/>
        </w:rPr>
        <w:t xml:space="preserve">OR</w:t>
      </w:r>
    </w:p>
    <w:p>
      <w:r>
        <w:rPr>
          <w:b/>
          <w:bCs/>
        </w:rPr>
        <w:t xml:space="preserve">B.)</w:t>
      </w:r>
      <w:r>
        <w:t xml:space="preserve"> Adopt the Open Cut — two tracings and two cutting passes per panel, free to nest against each other</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A coordinate-grid diagram</w:t>
      </w:r>
      <w:r>
        <w:t xml:space="preserve"> of the bodice front half-pattern, drawn once for the Fold Cut (its straight edge placed on the y-axis, then reflected across the y-axis to construct the full symmetric panel, with the line of symmetry labeled) and once for the Open Cut (the same half-pattern drawn as a free piece, then a second copy reflected and shifted to show how the two mirror-image pieces nest edge-to-edge). Label every distance you measure.</w:t>
      </w:r>
    </w:p>
    <w:p>
      <w:pPr>
        <w:ind w:left="360"/>
      </w:pPr>
      <w:r>
        <w:t xml:space="preserve">- </w:t>
      </w:r>
      <w:r>
        <w:rPr>
          <w:b/>
          <w:bCs/>
        </w:rPr>
        <w:t xml:space="preserve">D2 — A congruence check</w:t>
      </w:r>
      <w:r>
        <w:t xml:space="preserve"> for each diagram in D1: identify corresponding vertices and edges on the original half-pattern and its mirror image, and show that the two halves are congruent.</w:t>
      </w:r>
    </w:p>
    <w:p>
      <w:pPr>
        <w:ind w:left="360"/>
      </w:pPr>
      <w:r>
        <w:t xml:space="preserve">- </w:t>
      </w:r>
      <w:r>
        <w:rPr>
          <w:b/>
          <w:bCs/>
        </w:rPr>
        <w:t xml:space="preserve">D3 — A cutting-dimensions and yardage worksheet</w:t>
      </w:r>
      <w:r>
        <w:t xml:space="preserve">: starting from the panel's finished dimensions and its seam/hem allowances (Appendix A), find the total cutting width and cutting length using mixed-number addition, then convert the total cutting length from inches to yards, showing the fraction you multiplied by.</w:t>
      </w:r>
    </w:p>
    <w:p>
      <w:pPr>
        <w:ind w:left="360"/>
      </w:pPr>
      <w:r>
        <w:t xml:space="preserve">- </w:t>
      </w:r>
      <w:r>
        <w:rPr>
          <w:b/>
          <w:bCs/>
        </w:rPr>
        <w:t xml:space="preserve">D4 — A cost-per-panel table and daily-run projection</w:t>
      </w:r>
      <w:r>
        <w:t xml:space="preserve"> for each option: fabric cost (yardage from D3, adjusted for that option's marker efficiency from Appendix D, times the price per yard) plus labor cost (marking/cutting minutes, converted to hours, times the hourly wage from Appendix C), with a grand total per panel for each option, then that per-panel total multiplied out across the shop's 300-panel day, with the dollar gap between the two options' daily totals stated plainly.</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The Bodice Front Panel: Finished Dimensions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Measurement</w:t>
            </w:r>
          </w:p>
        </w:tc>
        <w:tc>
          <w:tcPr>
            <w:tcW w:type="dxa" w:w="4500"/>
            <w:shd w:fill="DDDDDD" w:val="clear"/>
          </w:tcPr>
          <w:p>
            <w:r>
              <w:t xml:space="preserve">Value</w:t>
            </w:r>
          </w:p>
        </w:tc>
      </w:tr>
      <w:tr>
        <w:tc>
          <w:tcPr>
            <w:tcW w:type="dxa" w:w="4500"/>
          </w:tcPr>
          <w:p>
            <w:r>
              <w:t xml:space="preserve">Finished width, fold edge to side seam (bust level)</w:t>
            </w:r>
          </w:p>
        </w:tc>
        <w:tc>
          <w:tcPr>
            <w:tcW w:type="dxa" w:w="4500"/>
          </w:tcPr>
          <w:p>
            <w:r>
              <w:t xml:space="preserve">8 3/8 in [MA1]</w:t>
            </w:r>
          </w:p>
        </w:tc>
      </w:tr>
      <w:tr>
        <w:tc>
          <w:tcPr>
            <w:tcW w:type="dxa" w:w="4500"/>
          </w:tcPr>
          <w:p>
            <w:r>
              <w:t xml:space="preserve">Finished length, shoulder to waist hem</w:t>
            </w:r>
          </w:p>
        </w:tc>
        <w:tc>
          <w:tcPr>
            <w:tcW w:type="dxa" w:w="4500"/>
          </w:tcPr>
          <w:p>
            <w:r>
              <w:t xml:space="preserve">23 1/4 in [MA1]</w:t>
            </w:r>
          </w:p>
        </w:tc>
      </w:tr>
      <w:tr>
        <w:tc>
          <w:tcPr>
            <w:tcW w:type="dxa" w:w="4500"/>
          </w:tcPr>
          <w:p>
            <w:r>
              <w:t xml:space="preserve">Side/shoulder seam allowance (industry-standard)</w:t>
            </w:r>
          </w:p>
        </w:tc>
        <w:tc>
          <w:tcPr>
            <w:tcW w:type="dxa" w:w="4500"/>
          </w:tcPr>
          <w:p>
            <w:r>
              <w:t xml:space="preserve">5/8 in [S1]</w:t>
            </w:r>
          </w:p>
        </w:tc>
      </w:tr>
      <w:tr>
        <w:tc>
          <w:tcPr>
            <w:tcW w:type="dxa" w:w="4500"/>
          </w:tcPr>
          <w:p>
            <w:r>
              <w:t xml:space="preserve">Waist hem allowance</w:t>
            </w:r>
          </w:p>
        </w:tc>
        <w:tc>
          <w:tcPr>
            <w:tcW w:type="dxa" w:w="4500"/>
          </w:tcPr>
          <w:p>
            <w:r>
              <w:t xml:space="preserve">1 1/2 in [MA1]</w:t>
            </w:r>
          </w:p>
        </w:tc>
      </w:tr>
    </w:tbl>
    <w:p/>
    <w:p>
      <w:r>
        <w:rPr>
          <w:i/>
          <w:iCs/>
        </w:rPr>
        <w:t xml:space="preserve">The finished width and length above describe the sewn, worn panel — the same panel, sewn the same way, regardless of which cutting method produces it. Only the seam and hem allowances are added on top to get the panel's actual </w:t>
      </w:r>
      <w:r>
        <w:rPr>
          <w:i/>
          <w:iCs/>
        </w:rPr>
        <w:t xml:space="preserve">cutting</w:t>
      </w:r>
      <w:r>
        <w:rPr>
          <w:i/>
          <w:iCs/>
        </w:rPr>
        <w:t xml:space="preserve"> dimensions, which is what Challenge D3 asks you to find. A 5/8-inch seam allowance is the near-universal U.S. home-sewing and light-manufacturing convention [S1] and applies at both the side seam and the shoulder seam; the case treats it as constant on every raw edge that needs one.</w:t>
      </w:r>
    </w:p>
    <w:p>
      <w:r>
        <w:rPr>
          <w:i/>
          <w:iCs/>
        </w:rPr>
        <w:t xml:space="preserve">Note: the panel's real outline is curved at the armhole and side seam, not a rectangle. This case (and the marker-efficiency figures in Appendix D) treats the panel's </w:t>
      </w:r>
      <w:r>
        <w:rPr>
          <w:i/>
          <w:iCs/>
        </w:rPr>
        <w:t xml:space="preserve">cutting bounding box</w:t>
      </w:r>
      <w:r>
        <w:rPr>
          <w:i/>
          <w:iCs/>
        </w:rPr>
        <w:t xml:space="preserve"> — the smallest rectangle the curved piece fits inside — as the fabric footprint the panel actually claims from the bolt. That simplification is standard in real marker-making arithmetic [S3] and is what makes Appendix D's efficiency percentages meaningful in the first place.</w:t>
      </w:r>
    </w:p>
    <w:p>
      <w:pPr>
        <w:pStyle w:val="Heading2"/>
        <w:spacing w:after="120" w:before="240"/>
      </w:pPr>
      <w:r>
        <w:t xml:space="preserve">Appendix B — Bolt and Fabric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Bolt width</w:t>
            </w:r>
          </w:p>
        </w:tc>
        <w:tc>
          <w:tcPr>
            <w:tcW w:type="dxa" w:w="4500"/>
          </w:tcPr>
          <w:p>
            <w:r>
              <w:t xml:space="preserve">44 in [S2]</w:t>
            </w:r>
          </w:p>
        </w:tc>
      </w:tr>
      <w:tr>
        <w:tc>
          <w:tcPr>
            <w:tcW w:type="dxa" w:w="4500"/>
          </w:tcPr>
          <w:p>
            <w:r>
              <w:t xml:space="preserve">Fabric price</w:t>
            </w:r>
          </w:p>
        </w:tc>
        <w:tc>
          <w:tcPr>
            <w:tcW w:type="dxa" w:w="4500"/>
          </w:tcPr>
          <w:p>
            <w:r>
              <w:t xml:space="preserve">$3.70 per yard [S4]</w:t>
            </w:r>
          </w:p>
        </w:tc>
      </w:tr>
      <w:tr>
        <w:tc>
          <w:tcPr>
            <w:tcW w:type="dxa" w:w="4500"/>
          </w:tcPr>
          <w:p>
            <w:r>
              <w:t xml:space="preserve">Fabric content</w:t>
            </w:r>
          </w:p>
        </w:tc>
        <w:tc>
          <w:tcPr>
            <w:tcW w:type="dxa" w:w="4500"/>
          </w:tcPr>
          <w:p>
            <w:r>
              <w:t xml:space="preserve">65% polyester / 35% cotton broadcloth [S4]</w:t>
            </w:r>
          </w:p>
        </w:tc>
      </w:tr>
    </w:tbl>
    <w:p/>
    <w:p>
      <w:r>
        <w:rPr>
          <w:i/>
          <w:iCs/>
        </w:rPr>
        <w:t xml:space="preserve">A 44/45-inch bolt is the standard width for lightweight quilting- and shirting-weight cotton and cotton-blend fabric sold in the United States [S2] — a trade convention, not a standards-body figure. Priya's shop is built around a 44-inch bolt line specifically (see Background), so this case uses that width throughout rather than the wider 58/60-inch bolts common for heavier apparel fabric.</w:t>
      </w:r>
    </w:p>
    <w:p>
      <w:pPr>
        <w:pStyle w:val="Heading2"/>
        <w:spacing w:after="120" w:before="240"/>
      </w:pPr>
      <w:r>
        <w:t xml:space="preserve">Appendix C — Cutting-Room Labor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Cutting-room wage (median, U.S., textile cutting occupation)</w:t>
            </w:r>
          </w:p>
        </w:tc>
        <w:tc>
          <w:tcPr>
            <w:tcW w:type="dxa" w:w="4500"/>
          </w:tcPr>
          <w:p>
            <w:r>
              <w:t xml:space="preserve">$17.61 per hour [S5]</w:t>
            </w:r>
          </w:p>
        </w:tc>
      </w:tr>
      <w:tr>
        <w:tc>
          <w:tcPr>
            <w:tcW w:type="dxa" w:w="4500"/>
          </w:tcPr>
          <w:p>
            <w:r>
              <w:t xml:space="preserve">Marking + cutting time, Fold Cut (one tracing/cutting pass per panel)</w:t>
            </w:r>
          </w:p>
        </w:tc>
        <w:tc>
          <w:tcPr>
            <w:tcW w:type="dxa" w:w="4500"/>
          </w:tcPr>
          <w:p>
            <w:r>
              <w:t xml:space="preserve">0.8 min [MA2]</w:t>
            </w:r>
          </w:p>
        </w:tc>
      </w:tr>
      <w:tr>
        <w:tc>
          <w:tcPr>
            <w:tcW w:type="dxa" w:w="4500"/>
          </w:tcPr>
          <w:p>
            <w:r>
              <w:t xml:space="preserve">Marking + cutting time, Open Cut (two tracing/cutting passes per panel)</w:t>
            </w:r>
          </w:p>
        </w:tc>
        <w:tc>
          <w:tcPr>
            <w:tcW w:type="dxa" w:w="4500"/>
          </w:tcPr>
          <w:p>
            <w:r>
              <w:t xml:space="preserve">1.6 min [MA2]</w:t>
            </w:r>
          </w:p>
        </w:tc>
      </w:tr>
      <w:tr>
        <w:tc>
          <w:tcPr>
            <w:tcW w:type="dxa" w:w="4500"/>
          </w:tcPr>
          <w:p>
            <w:r>
              <w:t xml:space="preserve">Bodice fronts cut per day, this shop</w:t>
            </w:r>
          </w:p>
        </w:tc>
        <w:tc>
          <w:tcPr>
            <w:tcW w:type="dxa" w:w="4500"/>
          </w:tcPr>
          <w:p>
            <w:r>
              <w:t xml:space="preserve">300</w:t>
            </w:r>
          </w:p>
        </w:tc>
      </w:tr>
    </w:tbl>
    <w:p/>
    <w:p>
      <w:r>
        <w:rPr>
          <w:i/>
          <w:iCs/>
        </w:rPr>
        <w:t xml:space="preserve">No public source publishes a per-panel marking-and-cutting time for a specific shop and pattern — this is an internal production-floor rate, not something any trade body tracks. The Open Cut time is set at exactly double the Fold Cut time, matching the shop's own floor observation that tracing and cutting two separate mirror-image half-pieces takes about twice as long as tracing and cutting one piece through a doubled fold (see MA2, Appendix G).</w:t>
      </w:r>
    </w:p>
    <w:p>
      <w:pPr>
        <w:pStyle w:val="Heading2"/>
        <w:spacing w:after="120" w:before="240"/>
      </w:pPr>
      <w:r>
        <w:t xml:space="preserve">Appendix D — Marker Efficiency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Cutting method</w:t>
            </w:r>
          </w:p>
        </w:tc>
        <w:tc>
          <w:tcPr>
            <w:tcW w:type="dxa" w:w="3000"/>
            <w:shd w:fill="DDDDDD" w:val="clear"/>
          </w:tcPr>
          <w:p>
            <w:r>
              <w:t xml:space="preserve">Marker efficiency</w:t>
            </w:r>
          </w:p>
        </w:tc>
        <w:tc>
          <w:tcPr>
            <w:tcW w:type="dxa" w:w="3000"/>
            <w:shd w:fill="DDDDDD" w:val="clear"/>
          </w:tcPr>
          <w:p>
            <w:r>
              <w:t xml:space="preserve">What it means</w:t>
            </w:r>
          </w:p>
        </w:tc>
      </w:tr>
      <w:tr>
        <w:tc>
          <w:tcPr>
            <w:tcW w:type="dxa" w:w="3000"/>
          </w:tcPr>
          <w:p>
            <w:r>
              <w:t xml:space="preserve">Fold Cut</w:t>
            </w:r>
          </w:p>
        </w:tc>
        <w:tc>
          <w:tcPr>
            <w:tcW w:type="dxa" w:w="3000"/>
          </w:tcPr>
          <w:p>
            <w:r>
              <w:t xml:space="preserve">78% [MA3]</w:t>
            </w:r>
          </w:p>
        </w:tc>
        <w:tc>
          <w:tcPr>
            <w:tcW w:type="dxa" w:w="3000"/>
          </w:tcPr>
          <w:p>
            <w:r>
              <w:t xml:space="preserve">The pattern's straight edge is locked to the true fold and cannot be rotated or flipped to close up the curved waste at the armhole/side seam.</w:t>
            </w:r>
          </w:p>
        </w:tc>
      </w:tr>
      <w:tr>
        <w:tc>
          <w:tcPr>
            <w:tcW w:type="dxa" w:w="3000"/>
          </w:tcPr>
          <w:p>
            <w:r>
              <w:t xml:space="preserve">Open Cut</w:t>
            </w:r>
          </w:p>
        </w:tc>
        <w:tc>
          <w:tcPr>
            <w:tcW w:type="dxa" w:w="3000"/>
          </w:tcPr>
          <w:p>
            <w:r>
              <w:t xml:space="preserve">88% [MA3]</w:t>
            </w:r>
          </w:p>
        </w:tc>
        <w:tc>
          <w:tcPr>
            <w:tcW w:type="dxa" w:w="3000"/>
          </w:tcPr>
          <w:p>
            <w:r>
              <w:t xml:space="preserve">The two mirror-image half-pieces are free pieces and can be nested edge-to-edge against each other, closing most of that curved gap.</w:t>
            </w:r>
          </w:p>
        </w:tc>
      </w:tr>
    </w:tbl>
    <w:p/>
    <w:p>
      <w:r>
        <w:rPr>
          <w:b/>
          <w:bCs/>
        </w:rPr>
        <w:t xml:space="preserve">Marker efficiency</w:t>
      </w:r>
      <w:r>
        <w:t xml:space="preserve"> is a real, standard garment-industry measure: the percentage of the fabric drawn from the bolt that ends up as usable garment, versus scrap [S3]. It is defined as (total area of the pattern pieces) ÷ (total area of fabric the marker/layout actually uses) × 100 [S3]. A single, position-locked piece (like a piece pinned to a fold) typically runs in the 75–82% range; a piece free to be flipped and nested against a mirror copy typically runs in the 82–90% range [S6]. This case fixes one value from each real, cited range for the Fold Cut and the Open Cut respectively (MA3) — no public source publishes an efficiency figure specific to </w:t>
      </w:r>
      <w:r>
        <w:rPr>
          <w:i/>
          <w:iCs/>
        </w:rPr>
        <w:t xml:space="preserve">this</w:t>
      </w:r>
      <w:r>
        <w:t xml:space="preserve"> panel shape at </w:t>
      </w:r>
      <w:r>
        <w:rPr>
          <w:i/>
          <w:iCs/>
        </w:rPr>
        <w:t xml:space="preserve">this</w:t>
      </w:r>
      <w:r>
        <w:t xml:space="preserve"> bolt width, so citing a single exact number as fact would misstate what is actually known.</w:t>
      </w:r>
    </w:p>
    <w:p>
      <w:r>
        <w:rPr>
          <w:i/>
          <w:iCs/>
        </w:rPr>
        <w:t xml:space="preserve">To find how much fabric a panel actually requires from the bolt, divide the panel's cutting-bounding-box area (Appendix A, Challenge D3) by its method's efficiency, not the other way around — efficiency describes what fraction of the fabric drawn becomes panel, so the fabric drawn must be larger than the panel itself.</w:t>
      </w:r>
    </w:p>
    <w:p>
      <w:pPr>
        <w:pStyle w:val="Heading2"/>
        <w:spacing w:after="120" w:before="240"/>
      </w:pPr>
      <w:r>
        <w:t xml:space="preserve">Appendix E — Modeling Assumptions</w:t>
      </w:r>
    </w:p>
    <w:p>
      <w:pPr>
        <w:ind w:left="480"/>
      </w:pPr>
      <w:r>
        <w:t xml:space="preserve">These figures are </w:t>
      </w:r>
      <w:r>
        <w:rPr>
          <w:b/>
          <w:bCs/>
        </w:rPr>
        <w:t xml:space="preserve">not sourced</w:t>
      </w:r>
      <w:r>
        <w:t xml:space="preserve"> as direct external citations. They are stated scenario assumptions, each grounded in a real basis described below.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The bodice front panel's finished width, length, and hem allowance</w:t>
            </w:r>
          </w:p>
        </w:tc>
        <w:tc>
          <w:tcPr>
            <w:tcW w:type="dxa" w:w="1800"/>
          </w:tcPr>
          <w:p>
            <w:r>
              <w:t xml:space="preserve">Width 8 3/8 in; length 23 1/4 in; hem 1 1/2 in</w:t>
            </w:r>
          </w:p>
        </w:tc>
        <w:tc>
          <w:tcPr>
            <w:tcW w:type="dxa" w:w="1800"/>
          </w:tcPr>
          <w:p>
            <w:r>
              <w:t xml:space="preserve">No manufacturer publishes the exact coordinate dimensions of a specific proprietary commercial pattern. These values are sized consistently with published home-sewing pattern-envelope yardage requirements for a fitted bodice front in a mid-size range (commonly 5/8–7/8 yard of 45-inch fabric per front-bodice view once both mirror halves, seam allowances, and normal layout slack are accounted for).</w:t>
            </w:r>
          </w:p>
        </w:tc>
        <w:tc>
          <w:tcPr>
            <w:tcW w:type="dxa" w:w="1800"/>
          </w:tcPr>
          <w:p>
            <w:r>
              <w:t xml:space="preserve">These dimensions scale both options' fabric use by the same factor, so they do not by themselves flip which option wins — but a much larger or smaller panel changes how much the </w:t>
            </w:r>
            <w:r>
              <w:rPr>
                <w:i/>
                <w:iCs/>
              </w:rPr>
              <w:t xml:space="preserve">fixed</w:t>
            </w:r>
            <w:r>
              <w:t xml:space="preserve"> seam-allowance additions (S1) matter relative to the panel's own size, which can move the margin.</w:t>
            </w:r>
          </w:p>
        </w:tc>
      </w:tr>
      <w:tr>
        <w:tc>
          <w:tcPr>
            <w:tcW w:type="dxa" w:w="1800"/>
          </w:tcPr>
          <w:p>
            <w:r>
              <w:t xml:space="preserve">MA2</w:t>
            </w:r>
          </w:p>
        </w:tc>
        <w:tc>
          <w:tcPr>
            <w:tcW w:type="dxa" w:w="1800"/>
          </w:tcPr>
          <w:p>
            <w:r>
              <w:t xml:space="preserve">Marking + cutting time per panel</w:t>
            </w:r>
          </w:p>
        </w:tc>
        <w:tc>
          <w:tcPr>
            <w:tcW w:type="dxa" w:w="1800"/>
          </w:tcPr>
          <w:p>
            <w:r>
              <w:t xml:space="preserve">Fold Cut 0.8 min; Open Cut 1.6 min</w:t>
            </w:r>
          </w:p>
        </w:tc>
        <w:tc>
          <w:tcPr>
            <w:tcW w:type="dxa" w:w="1800"/>
          </w:tcPr>
          <w:p>
            <w:r>
              <w:t xml:space="preserve">No trade body publishes a per-panel cutting-floor time; this is an internal production rate. The 2:1 ratio is fixed directly from the shop's own floor observation described in Background — cutting two separate mirror-image pieces takes about twice as long as cutting one piece through a doubled fold.</w:t>
            </w:r>
          </w:p>
        </w:tc>
        <w:tc>
          <w:tcPr>
            <w:tcW w:type="dxa" w:w="1800"/>
          </w:tcPr>
          <w:p>
            <w:r>
              <w:rPr>
                <w:b/>
                <w:bCs/>
              </w:rPr>
              <w:t xml:space="preserve">This is the single most dilemma-relevant assumption in the case.</w:t>
            </w:r>
            <w:r>
              <w:t xml:space="preserve"> Both options' fabric costs are close together (Appendix D); the labor-time gap is what mainly separates them. A smaller time gap (a faster Open Cut, e.g. from practice or a jig) shrinks Option B's cost disadvantage; a bigger gap widens it. The case's overall margin is sensitive to this number.</w:t>
            </w:r>
          </w:p>
        </w:tc>
      </w:tr>
      <w:tr>
        <w:tc>
          <w:tcPr>
            <w:tcW w:type="dxa" w:w="1800"/>
          </w:tcPr>
          <w:p>
            <w:r>
              <w:t xml:space="preserve">MA3</w:t>
            </w:r>
          </w:p>
        </w:tc>
        <w:tc>
          <w:tcPr>
            <w:tcW w:type="dxa" w:w="1800"/>
          </w:tcPr>
          <w:p>
            <w:r>
              <w:t xml:space="preserve">Marker efficiency, each method</w:t>
            </w:r>
          </w:p>
        </w:tc>
        <w:tc>
          <w:tcPr>
            <w:tcW w:type="dxa" w:w="1800"/>
          </w:tcPr>
          <w:p>
            <w:r>
              <w:t xml:space="preserve">Fold Cut 78%; Open Cut 88%</w:t>
            </w:r>
          </w:p>
        </w:tc>
        <w:tc>
          <w:tcPr>
            <w:tcW w:type="dxa" w:w="1800"/>
          </w:tcPr>
          <w:p>
            <w:r>
              <w:t xml:space="preserve">Both values are drawn from real, cited industry benchmark ranges for position-locked/single-piece markers (75–82%) and nested/optimized markers (82–90%) respectively [S6] — this case picks one representative point from each range rather than the middle or the extreme, since no source measures this specific panel and bolt width directly.</w:t>
            </w:r>
          </w:p>
        </w:tc>
        <w:tc>
          <w:tcPr>
            <w:tcW w:type="dxa" w:w="1800"/>
          </w:tcPr>
          <w:p>
            <w:r>
              <w:t xml:space="preserve">The case's margin is also sensitive to exactly where in each cited range the true value for this panel sits — a Hero who argues for a different point inside either published range is making a legitimate, defensible challenge.</w:t>
            </w:r>
          </w:p>
        </w:tc>
      </w:tr>
    </w:tbl>
    <w:p/>
    <w:p>
      <w:r>
        <w:rPr>
          <w:i/>
          <w:iCs/>
        </w:rPr>
        <w:t xml:space="preserve">No other figure in this case required a Modeling Assumption — see `RESEARCH_LOG.md` for the full source-by-source trail.</w:t>
      </w:r>
    </w:p>
    <w:p>
      <w:pPr>
        <w:pStyle w:val="Heading2"/>
        <w:spacing w:after="120" w:before="240"/>
      </w:pPr>
      <w:r>
        <w:t xml:space="preserve">Appendix F — "How To…" Math Questions To Research</w:t>
      </w:r>
    </w:p>
    <w:p>
      <w:r>
        <w:rPr>
          <w:b/>
          <w:bCs/>
        </w:rPr>
        <w:t xml:space="preserve">Vocabulary terms</w:t>
      </w:r>
    </w:p>
    <w:p>
      <w:pPr>
        <w:ind w:left="360"/>
      </w:pPr>
      <w:r>
        <w:t xml:space="preserve">- Line Of Symmetry</w:t>
      </w:r>
    </w:p>
    <w:p>
      <w:pPr>
        <w:ind w:left="360"/>
      </w:pPr>
      <w:r>
        <w:t xml:space="preserve">- Symmetry</w:t>
      </w:r>
    </w:p>
    <w:p>
      <w:pPr>
        <w:ind w:left="360"/>
      </w:pPr>
      <w:r>
        <w:t xml:space="preserve">- Congruent</w:t>
      </w:r>
    </w:p>
    <w:p>
      <w:pPr>
        <w:ind w:left="360"/>
      </w:pPr>
      <w:r>
        <w:t xml:space="preserve">- Reflection</w:t>
      </w:r>
    </w:p>
    <w:p>
      <w:pPr>
        <w:ind w:left="360"/>
      </w:pPr>
      <w:r>
        <w:t xml:space="preserve">- Distance</w:t>
      </w:r>
    </w:p>
    <w:p>
      <w:r>
        <w:rPr>
          <w:b/>
          <w:bCs/>
        </w:rPr>
        <w:t xml:space="preserve">"How to…" questions</w:t>
      </w:r>
    </w:p>
    <w:p>
      <w:pPr>
        <w:ind w:left="360"/>
      </w:pPr>
      <w:r>
        <w:t xml:space="preserve">- How to reflect a figure across the Y-Axis</w:t>
      </w:r>
    </w:p>
    <w:p>
      <w:pPr>
        <w:ind w:left="360"/>
      </w:pPr>
      <w:r>
        <w:t xml:space="preserve">- How to add with mixed numbers</w:t>
      </w:r>
    </w:p>
    <w:p>
      <w:pPr>
        <w:ind w:left="360"/>
      </w:pPr>
      <w:r>
        <w:t xml:space="preserve">- How to multiply a fraction and a mixed number</w:t>
      </w:r>
    </w:p>
    <w:p>
      <w:pPr>
        <w:ind w:left="360"/>
      </w:pPr>
      <w:r>
        <w:t xml:space="preserve">- How to convert an amount from one unit to another unit</w:t>
      </w:r>
    </w:p>
    <w:p>
      <w:pPr>
        <w:pStyle w:val="Heading2"/>
        <w:spacing w:after="120" w:before="240"/>
      </w:pPr>
      <w:r>
        <w:t xml:space="preserve">Appendix G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Standard U.S. commercial/home-sewing seam allowance</w:t>
            </w:r>
          </w:p>
        </w:tc>
        <w:tc>
          <w:tcPr>
            <w:tcW w:type="dxa" w:w="1500"/>
          </w:tcPr>
          <w:p>
            <w:r>
              <w:t xml:space="preserve">5/8 in</w:t>
            </w:r>
          </w:p>
        </w:tc>
        <w:tc>
          <w:tcPr>
            <w:tcW w:type="dxa" w:w="1500"/>
          </w:tcPr>
          <w:p>
            <w:r>
              <w:t xml:space="preserve">Wikipedia, </w:t>
            </w:r>
            <w:hyperlink w:history="1" r:id="rIdzcopsxei4onuydbtpb1dl">
              <w:r>
                <w:rPr>
                  <w:rStyle w:val="Hyperlink"/>
                </w:rPr>
                <w:t xml:space="preserve">"Seam allowance"</w:t>
              </w:r>
            </w:hyperlink>
            <w:r>
              <w:t xml:space="preserve">, citing Kim &amp; Kim, </w:t>
            </w:r>
            <w:r>
              <w:rPr>
                <w:i/>
                <w:iCs/>
              </w:rPr>
              <w:t xml:space="preserve">Patternmaking for Menswear</w:t>
            </w:r>
            <w:r>
              <w:t xml:space="preserve"> (2014)</w:t>
            </w:r>
          </w:p>
        </w:tc>
        <w:tc>
          <w:tcPr>
            <w:tcW w:type="dxa" w:w="1500"/>
          </w:tcPr>
          <w:p>
            <w:r>
              <w:t xml:space="preserve">accessed 2026-09-18</w:t>
            </w:r>
          </w:p>
        </w:tc>
        <w:tc>
          <w:tcPr>
            <w:tcW w:type="dxa" w:w="1500"/>
          </w:tcPr>
          <w:p>
            <w:r>
              <w:t xml:space="preserve">HIGH</w:t>
            </w:r>
          </w:p>
        </w:tc>
      </w:tr>
      <w:tr>
        <w:tc>
          <w:tcPr>
            <w:tcW w:type="dxa" w:w="1500"/>
          </w:tcPr>
          <w:p>
            <w:r>
              <w:t xml:space="preserve">S2</w:t>
            </w:r>
          </w:p>
        </w:tc>
        <w:tc>
          <w:tcPr>
            <w:tcW w:type="dxa" w:w="1500"/>
          </w:tcPr>
          <w:p>
            <w:r>
              <w:t xml:space="preserve">Standard bolt width for quilting- and shirting-weight cotton/cotton-blend fabric</w:t>
            </w:r>
          </w:p>
        </w:tc>
        <w:tc>
          <w:tcPr>
            <w:tcW w:type="dxa" w:w="1500"/>
          </w:tcPr>
          <w:p>
            <w:r>
              <w:t xml:space="preserve">44/45 in</w:t>
            </w:r>
          </w:p>
        </w:tc>
        <w:tc>
          <w:tcPr>
            <w:tcW w:type="dxa" w:w="1500"/>
          </w:tcPr>
          <w:p>
            <w:r>
              <w:t xml:space="preserve">The Fabric Calculator, </w:t>
            </w:r>
            <w:hyperlink w:history="1" r:id="rIdsfuutiwsyr2raey3frm9w">
              <w:r>
                <w:rPr>
                  <w:rStyle w:val="Hyperlink"/>
                </w:rPr>
                <w:t xml:space="preserve">"Fabric Bolt Widths: 36", 44", 54", and 60" Fabric Explained"</w:t>
              </w:r>
            </w:hyperlink>
          </w:p>
        </w:tc>
        <w:tc>
          <w:tcPr>
            <w:tcW w:type="dxa" w:w="1500"/>
          </w:tcPr>
          <w:p>
            <w:r>
              <w:t xml:space="preserve">accessed 2026-09-17</w:t>
            </w:r>
          </w:p>
        </w:tc>
        <w:tc>
          <w:tcPr>
            <w:tcW w:type="dxa" w:w="1500"/>
          </w:tcPr>
          <w:p>
            <w:r>
              <w:t xml:space="preserve">MEDIUM</w:t>
            </w:r>
          </w:p>
        </w:tc>
      </w:tr>
      <w:tr>
        <w:tc>
          <w:tcPr>
            <w:tcW w:type="dxa" w:w="1500"/>
          </w:tcPr>
          <w:p>
            <w:r>
              <w:t xml:space="preserve">S3</w:t>
            </w:r>
          </w:p>
        </w:tc>
        <w:tc>
          <w:tcPr>
            <w:tcW w:type="dxa" w:w="1500"/>
          </w:tcPr>
          <w:p>
            <w:r>
              <w:t xml:space="preserve">Definition and calculation method for marker efficiency in garment cutting</w:t>
            </w:r>
          </w:p>
        </w:tc>
        <w:tc>
          <w:tcPr>
            <w:tcW w:type="dxa" w:w="1500"/>
          </w:tcPr>
          <w:p>
            <w:r>
              <w:t xml:space="preserve">(Total pattern-piece area ÷ total marker area) × 100</w:t>
            </w:r>
          </w:p>
        </w:tc>
        <w:tc>
          <w:tcPr>
            <w:tcW w:type="dxa" w:w="1500"/>
          </w:tcPr>
          <w:p>
            <w:r>
              <w:t xml:space="preserve">Textile Trainer, </w:t>
            </w:r>
            <w:hyperlink w:history="1" r:id="rIdthed6befaajd2d7mf9id6">
              <w:r>
                <w:rPr>
                  <w:rStyle w:val="Hyperlink"/>
                </w:rPr>
                <w:t xml:space="preserve">"How to Calculate Marker Efficiency in Garment Manufacturing"</w:t>
              </w:r>
            </w:hyperlink>
          </w:p>
        </w:tc>
        <w:tc>
          <w:tcPr>
            <w:tcW w:type="dxa" w:w="1500"/>
          </w:tcPr>
          <w:p>
            <w:r>
              <w:t xml:space="preserve">published 2025-07-29, accessed 2026-09-17</w:t>
            </w:r>
          </w:p>
        </w:tc>
        <w:tc>
          <w:tcPr>
            <w:tcW w:type="dxa" w:w="1500"/>
          </w:tcPr>
          <w:p>
            <w:r>
              <w:t xml:space="preserve">MEDIUM</w:t>
            </w:r>
          </w:p>
        </w:tc>
      </w:tr>
      <w:tr>
        <w:tc>
          <w:tcPr>
            <w:tcW w:type="dxa" w:w="1500"/>
          </w:tcPr>
          <w:p>
            <w:r>
              <w:t xml:space="preserve">S4</w:t>
            </w:r>
          </w:p>
        </w:tc>
        <w:tc>
          <w:tcPr>
            <w:tcW w:type="dxa" w:w="1500"/>
          </w:tcPr>
          <w:p>
            <w:r>
              <w:t xml:space="preserve">44/45-inch poly-cotton broadcloth fabric price</w:t>
            </w:r>
          </w:p>
        </w:tc>
        <w:tc>
          <w:tcPr>
            <w:tcW w:type="dxa" w:w="1500"/>
          </w:tcPr>
          <w:p>
            <w:r>
              <w:t xml:space="preserve">$3.70 per yard</w:t>
            </w:r>
          </w:p>
        </w:tc>
        <w:tc>
          <w:tcPr>
            <w:tcW w:type="dxa" w:w="1500"/>
          </w:tcPr>
          <w:p>
            <w:r>
              <w:t xml:space="preserve">OnlineFabricStore, </w:t>
            </w:r>
            <w:hyperlink w:history="1" r:id="rIdyzmnihgmeaommdarmh4nr">
              <w:r>
                <w:rPr>
                  <w:rStyle w:val="Hyperlink"/>
                </w:rPr>
                <w:t xml:space="preserve">"45" White Broadcloth Fabric"</w:t>
              </w:r>
            </w:hyperlink>
          </w:p>
        </w:tc>
        <w:tc>
          <w:tcPr>
            <w:tcW w:type="dxa" w:w="1500"/>
          </w:tcPr>
          <w:p>
            <w:r>
              <w:t xml:space="preserve">accessed 2026-09-17</w:t>
            </w:r>
          </w:p>
        </w:tc>
        <w:tc>
          <w:tcPr>
            <w:tcW w:type="dxa" w:w="1500"/>
          </w:tcPr>
          <w:p>
            <w:r>
              <w:t xml:space="preserve">MEDIUM</w:t>
            </w:r>
          </w:p>
        </w:tc>
      </w:tr>
      <w:tr>
        <w:tc>
          <w:tcPr>
            <w:tcW w:type="dxa" w:w="1500"/>
          </w:tcPr>
          <w:p>
            <w:r>
              <w:t xml:space="preserve">S5</w:t>
            </w:r>
          </w:p>
        </w:tc>
        <w:tc>
          <w:tcPr>
            <w:tcW w:type="dxa" w:w="1500"/>
          </w:tcPr>
          <w:p>
            <w:r>
              <w:t xml:space="preserve">Median hourly wage, Textile Cutting Machine Setters, Operators, and Tenders (SOC 51-6062)</w:t>
            </w:r>
          </w:p>
        </w:tc>
        <w:tc>
          <w:tcPr>
            <w:tcW w:type="dxa" w:w="1500"/>
          </w:tcPr>
          <w:p>
            <w:r>
              <w:t xml:space="preserve">$17.61 per hour</w:t>
            </w:r>
          </w:p>
        </w:tc>
        <w:tc>
          <w:tcPr>
            <w:tcW w:type="dxa" w:w="1500"/>
          </w:tcPr>
          <w:p>
            <w:r>
              <w:t xml:space="preserve">U.S. Bureau of Labor Statistics, OEWS, </w:t>
            </w:r>
            <w:hyperlink w:history="1" r:id="rIdvds7cnnelqix6g90obfgw">
              <w:r>
                <w:rPr>
                  <w:rStyle w:val="Hyperlink"/>
                </w:rPr>
                <w:t xml:space="preserve">"Textile Cutting Machine Setters, Operators, and Tenders"</w:t>
              </w:r>
            </w:hyperlink>
          </w:p>
        </w:tc>
        <w:tc>
          <w:tcPr>
            <w:tcW w:type="dxa" w:w="1500"/>
          </w:tcPr>
          <w:p>
            <w:r>
              <w:t xml:space="preserve">May 2023, accessed 2026-09-17</w:t>
            </w:r>
          </w:p>
        </w:tc>
        <w:tc>
          <w:tcPr>
            <w:tcW w:type="dxa" w:w="1500"/>
          </w:tcPr>
          <w:p>
            <w:r>
              <w:t xml:space="preserve">HIGH</w:t>
            </w:r>
          </w:p>
        </w:tc>
      </w:tr>
      <w:tr>
        <w:tc>
          <w:tcPr>
            <w:tcW w:type="dxa" w:w="1500"/>
          </w:tcPr>
          <w:p>
            <w:r>
              <w:t xml:space="preserve">S6</w:t>
            </w:r>
          </w:p>
        </w:tc>
        <w:tc>
          <w:tcPr>
            <w:tcW w:type="dxa" w:w="1500"/>
          </w:tcPr>
          <w:p>
            <w:r>
              <w:t xml:space="preserve">Typical marker-efficiency ranges by nesting method (single-size/position-locked vs. multi-size/optimized)</w:t>
            </w:r>
          </w:p>
        </w:tc>
        <w:tc>
          <w:tcPr>
            <w:tcW w:type="dxa" w:w="1500"/>
          </w:tcPr>
          <w:p>
            <w:r>
              <w:t xml:space="preserve">Single-size/manual 75–82%; multi-size/optimized nesting 82–90%</w:t>
            </w:r>
          </w:p>
        </w:tc>
        <w:tc>
          <w:tcPr>
            <w:tcW w:type="dxa" w:w="1500"/>
          </w:tcPr>
          <w:p>
            <w:r>
              <w:t xml:space="preserve">Apex Fashion Lab glossary, </w:t>
            </w:r>
            <w:hyperlink w:history="1" r:id="rIdsy2t41vsqonqndwudhpov">
              <w:r>
                <w:rPr>
                  <w:rStyle w:val="Hyperlink"/>
                </w:rPr>
                <w:t xml:space="preserve">"Marker Making: 80–90% Fabric Efficiency, CAD Auto-Nesting &amp; Waste Reduction Guide"</w:t>
              </w:r>
            </w:hyperlink>
          </w:p>
        </w:tc>
        <w:tc>
          <w:tcPr>
            <w:tcW w:type="dxa" w:w="1500"/>
          </w:tcPr>
          <w:p>
            <w:r>
              <w:t xml:space="preserve">updated 2026-02, accessed 2026-09-17</w:t>
            </w:r>
          </w:p>
        </w:tc>
        <w:tc>
          <w:tcPr>
            <w:tcW w:type="dxa" w:w="1500"/>
          </w:tcPr>
          <w:p>
            <w:r>
              <w:t xml:space="preserve">MEDIUM</w:t>
            </w:r>
          </w:p>
        </w:tc>
      </w:tr>
    </w:tbl>
    <w:p/>
    <w:p>
      <w:r>
        <w:rPr>
          <w:i/>
          <w:iCs/>
        </w:rPr>
        <w:t xml:space="preserve">Modeling Assumptions MA1–MA3 are documented in Appendix E, not repeated here. Full search trail, rejected sources, and derivation arithmetic: `RESEARCH_LOG.md`.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copsxei4onuydbtpb1dl" Type="http://schemas.openxmlformats.org/officeDocument/2006/relationships/hyperlink" Target="https://en.wikipedia.org/wiki/Seam_allowance" TargetMode="External"/><Relationship Id="rIdsfuutiwsyr2raey3frm9w" Type="http://schemas.openxmlformats.org/officeDocument/2006/relationships/hyperlink" Target="https://thefabriccalculator.com/blog/fabric-bolt-widths-explained" TargetMode="External"/><Relationship Id="rIdthed6befaajd2d7mf9id6" Type="http://schemas.openxmlformats.org/officeDocument/2006/relationships/hyperlink" Target="https://textiletrainer.com/calculate-marker-efficiency-in-garment/" TargetMode="External"/><Relationship Id="rIdyzmnihgmeaommdarmh4nr" Type="http://schemas.openxmlformats.org/officeDocument/2006/relationships/hyperlink" Target="https://www.onlinefabricstore.com/45-inch-white-broadcloth-fabric-.htm" TargetMode="External"/><Relationship Id="rIdvds7cnnelqix6g90obfgw" Type="http://schemas.openxmlformats.org/officeDocument/2006/relationships/hyperlink" Target="https://www.bls.gov/oes/2023/may/oes516062.htm" TargetMode="External"/><Relationship Id="rIdsy2t41vsqonqndwudhpov" Type="http://schemas.openxmlformats.org/officeDocument/2006/relationships/hyperlink" Target="https://www.apexfashionlab.com/glossary/marker-making"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2026-09-18T06:33:09.102Z</dcterms:created>
  <dcterms:modified xsi:type="dcterms:W3CDTF">2026-09-18T06:33:09.107Z</dcterms:modified>
</cp:coreProperties>
</file>

<file path=docProps/custom.xml><?xml version="1.0" encoding="utf-8"?>
<Properties xmlns="http://schemas.openxmlformats.org/officeDocument/2006/custom-properties" xmlns:vt="http://schemas.openxmlformats.org/officeDocument/2006/docPropsVTypes"/>
</file>