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Search Box</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Dana Okafor doesn't look up from the plotting table when the phone rings a second time. The sector command center hums with fluorescent light and the low static of a marine-band scanner, and taped to the corner of Dana's monitor is a photo of a niece who FaceTimes every Sunday — Dana already texted home to say tonight's shift is running long. On the whiteboard behind Dana, someone chalked the case number, and under it, in block capitals nobody has erased since the watch changed over: PERSON IN WATER.</w:t>
      </w:r>
    </w:p>
    <w:p>
      <w:r>
        <w:t xml:space="preserve">The helicopter crew chief's voice comes through the headset clipped and flat: fuel state, daylight remaining, one search box, not two. Somewhere past the harbor entrance a family is standing on a dock refreshing a phone with no new messages. Dana pulls two transparencies off the light table — one gridded box traced in blue grease pencil, one in red — and lays them side by side over the chart. Both came off the same radar fix. Both used a real, published drift model. They do not agree.</w:t>
      </w:r>
    </w:p>
    <w:p>
      <w:r>
        <w:t xml:space="preserve">Dana's finger hovers between them. Behind Dana, the watch officer leans in, waiting on the word that sends a helicopter one way and not the other, and there will not be time, after this decision, to be told it was the wrong one.</w:t>
      </w:r>
    </w:p>
    <w:p>
      <w:pPr>
        <w:pStyle w:val="Heading2"/>
        <w:spacing w:after="120" w:before="240"/>
      </w:pPr>
      <w:r>
        <w:t xml:space="preserve">Background</w:t>
      </w:r>
    </w:p>
    <w:p>
      <w:r>
        <w:t xml:space="preserve">Dana Okafor is the on-duty Search and Rescue Mission Coordinator (SMC) at a U.S. Coast Guard sector command center, responsible for planning search patterns and accountable to the sector commander for making the best use of every asset committed to a case, including the fuel and flight hours of any aircraft launched (SEE APPENDIX A). Some time ago, a fishing vessel radioed that a crew member had gone overboard; at the moment of that report, the vessel's own radar recorded the person's position as a bearing and range measured from the vessel (SEE APPENDIX B) — the only fix anyone has.</w:t>
      </w:r>
    </w:p>
    <w:p>
      <w:r>
        <w:t xml:space="preserve">Since that last fix, a helicopter crew has been standing by, and it now has enough fuel and remaining daylight to fully search exactly one candidate search box before it must return to base (SEE APPENDIX A). Coast Guard search planning projects how far, and in what direction, the person (and the personal flotation device they were wearing) has likely drifted since the last fix, using published drift-rate data for that specific category of object in the water (SEE APPENDICES C and D). Two such projections are on the table tonight, built from the same starting fix, and they do not agree:</w:t>
      </w:r>
    </w:p>
    <w:p>
      <w:r>
        <w:rPr>
          <w:b/>
          <w:bCs/>
        </w:rPr>
        <w:t xml:space="preserve">The Windward Datum</w:t>
      </w:r>
      <w:r>
        <w:t xml:space="preserve"> — the search box generated by the wind-driven leeway drift model, which projects drift using the object's published leeway coefficients: how fast, and at what angle off the wind, this category of object is carried by wind alone (SEE APPENDIX C).</w:t>
      </w:r>
    </w:p>
    <w:p>
      <w:r>
        <w:rPr>
          <w:b/>
          <w:bCs/>
        </w:rPr>
        <w:t xml:space="preserve">The Set-and-Drift Datum</w:t>
      </w:r>
      <w:r>
        <w:t xml:space="preserve"> — the search box generated by the current-driven drift model, which instead projects drift using the surface current's own speed and direction at the scene — what mariners call the current's "set and drift" (SEE APPENDIX D).</w:t>
      </w:r>
    </w:p>
    <w:p>
      <w:r>
        <w:t xml:space="preserve">Both models start from the same converted radar fix (SEE APPENDIX B) and the same elapsed search time (SEE APPENDIX A); both are real, Coast Guard-published methods; and both are defensible for this category of object. They are not, however, the same box, and the helicopter's remaining fuel and daylight rule out searching both fully (SEE APPENDIX A). Dana's recommendation will be judged on one number: the estimated probability of detection each candidate box offers for every flight-hour the helicopter has left (SEE APPENDIX E). Every sourced and assumed figure in this case is listed in </w:t>
      </w:r>
      <w:r>
        <w:rPr>
          <w:b/>
          <w:bCs/>
        </w:rPr>
        <w:t xml:space="preserve">APPENDICES F and G</w:t>
      </w:r>
      <w:r>
        <w:t xml:space="preserve">, and the vocabulary and "how to…" skills this case will ask of you are listed in </w:t>
      </w:r>
      <w:r>
        <w:rPr>
          <w:b/>
          <w:bCs/>
        </w:rPr>
        <w:t xml:space="preserve">APPENDIX H</w:t>
      </w:r>
      <w:r>
        <w:t xml:space="preserve"> — that is where Challenge 1 sends you.</w:t>
      </w:r>
    </w:p>
    <w:p>
      <w:pPr>
        <w:pStyle w:val="Heading2"/>
        <w:spacing w:after="120" w:before="240"/>
      </w:pPr>
      <w:r>
        <w:t xml:space="preserve">Dilemma</w:t>
      </w:r>
    </w:p>
    <w:p>
      <w:r>
        <w:t xml:space="preserve">You are Dana Okafor. Do you: A.) Send the helicopter to the Windward Datum — the search box generated by the wind-driven leeway drift model OR B.) Send it to the Set-and-Drift Datum — the search box generated by the current-driven drift model</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rectangular-datum conversion (SEE APPENDIX B): convert the vessel's last-known radar     fix — given as a polar coordinate, a bearing and range measured from the vessel — into     rectangular coordinates on this case's search grid, with the conversion arithmetic shown.     D2. Two parametric drift models (SEE APPENDICES C and D): for the wind-driven leeway model and     for the current-driven model, write the person's position as a pair of parametric equations,     x(t) and y(t), in terms of elapsed time since the last fix, using each model's own stated     drift speed and direction.     D3. Two eliminated-parameter search boxes (SEE APPENDICES C and D): for each drift model,     eliminate the time parameter from D2's equations to obtain a single rectangular equation for     that model's drift centerline, and use it — together with the model's stated search-radius     growth over elapsed time — to state the four corner coordinates of a rectangular search box     for that option, with the elimination steps shown.     D4. A graphed polar boundary for each option (SEE APPENDICES C, D and E): for each candidate     box, graph the polar equation r(θ) describing the outer boundary of that option's search     radius around its drifted datum (the radius is not necessarily the same in every direction —     say why), and label which rectangular search box (from D3) that boundary generates.     D5. A probability-of-detection decision table (SEE APPENDIX E): for the Windward Datum and the     Set-and-Drift Datum, the area enclosed by each option's D3/D4 search box, the number of     flight-hours the helicopter can spend covering it, and an estimated probability of detection     per flight-hour for each option, combining the area and the stated probability-of-containment     figure for that datum — with your recommendation stated and defended using that last column.</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Mission Timeline &amp; Search Platform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Elapsed time between the person-overboard report and the last radar fix</w:t>
            </w:r>
          </w:p>
        </w:tc>
        <w:tc>
          <w:tcPr>
            <w:tcW w:type="dxa" w:w="4500"/>
          </w:tcPr>
          <w:p>
            <w:r>
              <w:t xml:space="preserve">4 minutes [MA1]</w:t>
            </w:r>
          </w:p>
        </w:tc>
      </w:tr>
      <w:tr>
        <w:tc>
          <w:tcPr>
            <w:tcW w:type="dxa" w:w="4500"/>
          </w:tcPr>
          <w:p>
            <w:r>
              <w:t xml:space="preserve">Elapsed time between the last radar fix and this search-planning decision point</w:t>
            </w:r>
          </w:p>
        </w:tc>
        <w:tc>
          <w:tcPr>
            <w:tcW w:type="dxa" w:w="4500"/>
          </w:tcPr>
          <w:p>
            <w:r>
              <w:t xml:space="preserve">2 hours 30 minutes [MA2]</w:t>
            </w:r>
          </w:p>
        </w:tc>
      </w:tr>
      <w:tr>
        <w:tc>
          <w:tcPr>
            <w:tcW w:type="dxa" w:w="4500"/>
          </w:tcPr>
          <w:p>
            <w:r>
              <w:t xml:space="preserve">Helicopter's remaining on-scene search endurance, given current fuel state and daylight remaining</w:t>
            </w:r>
          </w:p>
        </w:tc>
        <w:tc>
          <w:tcPr>
            <w:tcW w:type="dxa" w:w="4500"/>
          </w:tcPr>
          <w:p>
            <w:r>
              <w:t xml:space="preserve">3.8 hours [S6][S7][MA3]</w:t>
            </w:r>
          </w:p>
        </w:tc>
      </w:tr>
      <w:tr>
        <w:tc>
          <w:tcPr>
            <w:tcW w:type="dxa" w:w="4500"/>
          </w:tcPr>
          <w:p>
            <w:r>
              <w:t xml:space="preserve">Helicopter search speed for a person-in-water pattern</w:t>
            </w:r>
          </w:p>
        </w:tc>
        <w:tc>
          <w:tcPr>
            <w:tcW w:type="dxa" w:w="4500"/>
          </w:tcPr>
          <w:p>
            <w:r>
              <w:t xml:space="preserve">90 knots [S1]</w:t>
            </w:r>
          </w:p>
        </w:tc>
      </w:tr>
      <w:tr>
        <w:tc>
          <w:tcPr>
            <w:tcW w:type="dxa" w:w="4500"/>
          </w:tcPr>
          <w:p>
            <w:r>
              <w:t xml:space="preserve">Sensor/visual sweep width for a person-in-water search, given stated sea state and visibility</w:t>
            </w:r>
          </w:p>
        </w:tc>
        <w:tc>
          <w:tcPr>
            <w:tcW w:type="dxa" w:w="4500"/>
          </w:tcPr>
          <w:p>
            <w:r>
              <w:t xml:space="preserve">0.4 NM [S2][MA4]</w:t>
            </w:r>
          </w:p>
        </w:tc>
      </w:tr>
      <w:tr>
        <w:tc>
          <w:tcPr>
            <w:tcW w:type="dxa" w:w="4500"/>
          </w:tcPr>
          <w:p>
            <w:r>
              <w:t xml:space="preserve">Track spacing used for the assigned search pattern</w:t>
            </w:r>
          </w:p>
        </w:tc>
        <w:tc>
          <w:tcPr>
            <w:tcW w:type="dxa" w:w="4500"/>
          </w:tcPr>
          <w:p>
            <w:r>
              <w:t xml:space="preserve">0.4 NM [S2]</w:t>
            </w:r>
          </w:p>
        </w:tc>
      </w:tr>
    </w:tbl>
    <w:p/>
    <w:p>
      <w:r>
        <w:t xml:space="preserve">Dana's helicopter can fly the pattern needed to fully search exactly one of the two candidate boxes below before fuel state and remaining daylight force a return to base; it cannot search both.</w:t>
      </w:r>
    </w:p>
    <w:p>
      <w:pPr>
        <w:pStyle w:val="Heading2"/>
        <w:spacing w:after="120" w:before="240"/>
      </w:pPr>
      <w:r>
        <w:t xml:space="preserve">Appendix B — Last Known Position (Radar Fix)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Vessel's own position at the time of the report, as rectangular grid coordinates (nautical miles east/north of this case's fixed reference point)</w:t>
            </w:r>
          </w:p>
        </w:tc>
        <w:tc>
          <w:tcPr>
            <w:tcW w:type="dxa" w:w="4500"/>
          </w:tcPr>
          <w:p>
            <w:r>
              <w:t xml:space="preserve">(10.0 NM east, 6.0 NM north) [MA5]</w:t>
            </w:r>
          </w:p>
        </w:tc>
      </w:tr>
      <w:tr>
        <w:tc>
          <w:tcPr>
            <w:tcW w:type="dxa" w:w="4500"/>
          </w:tcPr>
          <w:p>
            <w:r>
              <w:t xml:space="preserve">Radar bearing from the vessel to the person in the water at the last fix</w:t>
            </w:r>
          </w:p>
        </w:tc>
        <w:tc>
          <w:tcPr>
            <w:tcW w:type="dxa" w:w="4500"/>
          </w:tcPr>
          <w:p>
            <w:r>
              <w:t xml:space="preserve">065° true [MA6]</w:t>
            </w:r>
          </w:p>
        </w:tc>
      </w:tr>
      <w:tr>
        <w:tc>
          <w:tcPr>
            <w:tcW w:type="dxa" w:w="4500"/>
          </w:tcPr>
          <w:p>
            <w:r>
              <w:t xml:space="preserve">Radar range from the vessel to the person in the water at the last fix</w:t>
            </w:r>
          </w:p>
        </w:tc>
        <w:tc>
          <w:tcPr>
            <w:tcW w:type="dxa" w:w="4500"/>
          </w:tcPr>
          <w:p>
            <w:r>
              <w:t xml:space="preserve">0.60 NM [MA7]</w:t>
            </w:r>
          </w:p>
        </w:tc>
      </w:tr>
    </w:tbl>
    <w:p/>
    <w:p>
      <w:r>
        <w:t xml:space="preserve">The bearing-range pair above is a polar coordinate (SEE APPENDIX H) measured from the vessel's own position, not from this case's fixed reference point. D1 converts it into a single rectangular datum both drift models in Appendices C and D start from.</w:t>
      </w:r>
    </w:p>
    <w:p>
      <w:pPr>
        <w:pStyle w:val="Heading2"/>
        <w:spacing w:after="120" w:before="240"/>
      </w:pPr>
      <w:r>
        <w:t xml:space="preserve">Appendix C — Wind-Driven Leeway Drift Model Data (Option A: The Windward Datum)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Search-object category, per the U.S. Coast Guard's published leeway object-category table</w:t>
            </w:r>
          </w:p>
        </w:tc>
        <w:tc>
          <w:tcPr>
            <w:tcW w:type="dxa" w:w="4500"/>
          </w:tcPr>
          <w:p>
            <w:r>
              <w:t xml:space="preserve">PIW (Person-in-Water), "Vertical" sub-category [S3]</w:t>
            </w:r>
          </w:p>
        </w:tc>
      </w:tr>
      <w:tr>
        <w:tc>
          <w:tcPr>
            <w:tcW w:type="dxa" w:w="4500"/>
          </w:tcPr>
          <w:p>
            <w:r>
              <w:t xml:space="preserve">Leeway speed for that category, as a percent of on-scene wind speed</w:t>
            </w:r>
          </w:p>
        </w:tc>
        <w:tc>
          <w:tcPr>
            <w:tcW w:type="dxa" w:w="4500"/>
          </w:tcPr>
          <w:p>
            <w:r>
              <w:t xml:space="preserve">≈1.1% of wind speed, plus a 0.07-knot constant: Leeway (kts) = 0.011 × Wind Speed (kts) + 0.07 kts [S3]</w:t>
            </w:r>
          </w:p>
        </w:tc>
      </w:tr>
      <w:tr>
        <w:tc>
          <w:tcPr>
            <w:tcW w:type="dxa" w:w="4500"/>
          </w:tcPr>
          <w:p>
            <w:r>
              <w:t xml:space="preserve">Leeway divergence angle for that category (degrees left or right of the downwind direction)</w:t>
            </w:r>
          </w:p>
        </w:tc>
        <w:tc>
          <w:tcPr>
            <w:tcW w:type="dxa" w:w="4500"/>
          </w:tcPr>
          <w:p>
            <w:r>
              <w:t xml:space="preserve">±30° [S3]</w:t>
            </w:r>
          </w:p>
        </w:tc>
      </w:tr>
      <w:tr>
        <w:tc>
          <w:tcPr>
            <w:tcW w:type="dxa" w:w="4500"/>
          </w:tcPr>
          <w:p>
            <w:r>
              <w:t xml:space="preserve">On-scene wind speed at the time of the last fix</w:t>
            </w:r>
          </w:p>
        </w:tc>
        <w:tc>
          <w:tcPr>
            <w:tcW w:type="dxa" w:w="4500"/>
          </w:tcPr>
          <w:p>
            <w:r>
              <w:t xml:space="preserve">20 knots [MA8]</w:t>
            </w:r>
          </w:p>
        </w:tc>
      </w:tr>
      <w:tr>
        <w:tc>
          <w:tcPr>
            <w:tcW w:type="dxa" w:w="4500"/>
          </w:tcPr>
          <w:p>
            <w:r>
              <w:t xml:space="preserve">On-scene wind direction (the bearing the wind is blowing toward)</w:t>
            </w:r>
          </w:p>
        </w:tc>
        <w:tc>
          <w:tcPr>
            <w:tcW w:type="dxa" w:w="4500"/>
          </w:tcPr>
          <w:p>
            <w:r>
              <w:t xml:space="preserve">210° true [MA9]</w:t>
            </w:r>
          </w:p>
        </w:tc>
      </w:tr>
      <w:tr>
        <w:tc>
          <w:tcPr>
            <w:tcW w:type="dxa" w:w="4500"/>
          </w:tcPr>
          <w:p>
            <w:r>
              <w:t xml:space="preserve">Search-radius growth rate used by this model over elapsed search time</w:t>
            </w:r>
          </w:p>
        </w:tc>
        <w:tc>
          <w:tcPr>
            <w:tcW w:type="dxa" w:w="4500"/>
          </w:tcPr>
          <w:p>
            <w:r>
              <w:t xml:space="preserve">E(t) = 0.35 kt × t (t = elapsed hours since last fix), giving the 50%-containment radius; the search radius used for the box is R(t) = 1.1 × E(t) [S3][S10]</w:t>
            </w:r>
          </w:p>
        </w:tc>
      </w:tr>
    </w:tbl>
    <w:p/>
    <w:p>
      <w:r>
        <w:t xml:space="preserve">The leeway coefficients above are real, published U.S. Coast Guard data (SEE APPENDIX G), the same data behind the Coast Guard's Computer-Assisted Search Planning system; this case's specific wind speed, direction, and elapsed-time figures are stated for this scenario (SEE APPENDIX F).</w:t>
      </w:r>
    </w:p>
    <w:p>
      <w:pPr>
        <w:pStyle w:val="Heading2"/>
        <w:spacing w:after="120" w:before="240"/>
      </w:pPr>
      <w:r>
        <w:t xml:space="preserve">Appendix D — Current-Driven Drift Model Data (Option B: The Set-and-Drift Datum)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On-scene surface current speed at the scene (the "drift")</w:t>
            </w:r>
          </w:p>
        </w:tc>
        <w:tc>
          <w:tcPr>
            <w:tcW w:type="dxa" w:w="4500"/>
          </w:tcPr>
          <w:p>
            <w:r>
              <w:t xml:space="preserve">1.3 knots [MA10]</w:t>
            </w:r>
          </w:p>
        </w:tc>
      </w:tr>
      <w:tr>
        <w:tc>
          <w:tcPr>
            <w:tcW w:type="dxa" w:w="4500"/>
          </w:tcPr>
          <w:p>
            <w:r>
              <w:t xml:space="preserve">On-scene surface current direction (the "set" — the bearing the current is flowing toward)</w:t>
            </w:r>
          </w:p>
        </w:tc>
        <w:tc>
          <w:tcPr>
            <w:tcW w:type="dxa" w:w="4500"/>
          </w:tcPr>
          <w:p>
            <w:r>
              <w:t xml:space="preserve">120° true [MA11]</w:t>
            </w:r>
          </w:p>
        </w:tc>
      </w:tr>
      <w:tr>
        <w:tc>
          <w:tcPr>
            <w:tcW w:type="dxa" w:w="4500"/>
          </w:tcPr>
          <w:p>
            <w:r>
              <w:t xml:space="preserve">Search-radius growth rate used by this model over elapsed search time</w:t>
            </w:r>
          </w:p>
        </w:tc>
        <w:tc>
          <w:tcPr>
            <w:tcW w:type="dxa" w:w="4500"/>
          </w:tcPr>
          <w:p>
            <w:r>
              <w:t xml:space="preserve">E(t) = 0.45 kt × t (t = elapsed hours since last fix), giving the 50%-containment radius; the search radius used for the box is R(t) = 1.1 × E(t) [MA12][S10]</w:t>
            </w:r>
          </w:p>
        </w:tc>
      </w:tr>
    </w:tbl>
    <w:p/>
    <w:p>
      <w:r>
        <w:t xml:space="preserve">The set-and-drift methodology above follows the datum-motion approach described in published U.S. Coast Guard/NOAA search-and-rescue technical reports (SEE APPENDIX G); this case's specific current speed, direction, and elapsed-time figures are stated for this scenario (SEE APPENDIX F).</w:t>
      </w:r>
    </w:p>
    <w:p>
      <w:pPr>
        <w:pStyle w:val="Heading2"/>
        <w:spacing w:after="120" w:before="240"/>
      </w:pPr>
      <w:r>
        <w:t xml:space="preserve">Appendix E — Search Effectiveness &amp; Detection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Windward Datum (Option A)</w:t>
            </w:r>
          </w:p>
        </w:tc>
        <w:tc>
          <w:tcPr>
            <w:tcW w:type="dxa" w:w="3000"/>
            <w:shd w:fill="DDDDDD" w:val="clear"/>
          </w:tcPr>
          <w:p>
            <w:r>
              <w:t xml:space="preserve">Set-and-Drift Datum (Option B)</w:t>
            </w:r>
          </w:p>
        </w:tc>
      </w:tr>
      <w:tr>
        <w:tc>
          <w:tcPr>
            <w:tcW w:type="dxa" w:w="3000"/>
          </w:tcPr>
          <w:p>
            <w:r>
              <w:t xml:space="preserve">Probability of containment (POC) — the probability the person is actually inside a correctly-sized search box built from this model</w:t>
            </w:r>
          </w:p>
        </w:tc>
        <w:tc>
          <w:tcPr>
            <w:tcW w:type="dxa" w:w="3000"/>
          </w:tcPr>
          <w:p>
            <w:r>
              <w:t xml:space="preserve">55% [MA13]</w:t>
            </w:r>
          </w:p>
        </w:tc>
        <w:tc>
          <w:tcPr>
            <w:tcW w:type="dxa" w:w="3000"/>
          </w:tcPr>
          <w:p>
            <w:r>
              <w:t xml:space="preserve">64.75% [S8]</w:t>
            </w:r>
          </w:p>
        </w:tc>
      </w:tr>
      <w:tr>
        <w:tc>
          <w:tcPr>
            <w:tcW w:type="dxa" w:w="3000"/>
          </w:tcPr>
          <w:p>
            <w:r>
              <w:t xml:space="preserve">Coverage-factor relationship between search effort (track spacing, sweep width, area) and probability of detection (POD)</w:t>
            </w:r>
          </w:p>
        </w:tc>
        <w:tc>
          <w:tcPr>
            <w:tcW w:type="dxa" w:w="3000"/>
          </w:tcPr>
          <w:p>
            <w:r>
              <w:t xml:space="preserve">Coverage Factor C = (Sweep Width × Search Speed × Search Endurance) / Area; POD (Normal Search Conditions) = 1 − e^(−C) [S4][S5]</w:t>
            </w:r>
          </w:p>
        </w:tc>
        <w:tc>
          <w:tcPr>
            <w:tcW w:type="dxa" w:w="3000"/>
          </w:tcPr>
          <w:p>
            <w:r>
              <w:t xml:space="preserve">(same relationship applied to Option B's own area)</w:t>
            </w:r>
          </w:p>
        </w:tc>
      </w:tr>
    </w:tbl>
    <w:p/>
    <w:p>
      <w:r>
        <w:t xml:space="preserve">D5 combines each option's area (from D3/D4), the helicopter's available flight-hours (Appendix A), and this appendix's POC and coverage-factor data into a probability of detection per flight-hour for each candidate box.</w:t>
      </w:r>
    </w:p>
    <w:p>
      <w:pPr>
        <w:pStyle w:val="Heading2"/>
        <w:spacing w:after="120" w:before="240"/>
      </w:pPr>
      <w:r>
        <w:t xml:space="preserve">Appendix F — Modeling Assumptions</w:t>
      </w:r>
    </w:p>
    <w:p>
      <w:pPr>
        <w:ind w:left="480"/>
      </w:pPr>
      <w:r>
        <w:t xml:space="preserve">These figures are </w:t>
      </w:r>
      <w:r>
        <w:rPr>
          <w:b/>
          <w:bCs/>
        </w:rPr>
        <w:t xml:space="preserve">not sourced</w:t>
      </w:r>
      <w:r>
        <w:t xml:space="preserve">. They are stated scenario assumptions chosen by the case author. This case's specific incident — the vessel, the last-known radar fix, the elapsed times, and the on-scene wind and current conditions — is invented for this case study; real person-overboard incidents are sensitive and potentially identifying, so no real incident's figures are used (SEE FACILITATOR.md). The leeway drift coefficients, the coverage-factor/POD relationship, and the set-and-drift modeling method themselves (Appendices C, D, and E) are real, published U.S. Coast Guard data and methodology, not invented. A Hero may challenge any of these assumptions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Elapsed time, person-overboard report → last radar fix</w:t>
            </w:r>
          </w:p>
        </w:tc>
        <w:tc>
          <w:tcPr>
            <w:tcW w:type="dxa" w:w="1800"/>
          </w:tcPr>
          <w:p>
            <w:r>
              <w:t xml:space="preserve">4 minutes</w:t>
            </w:r>
          </w:p>
        </w:tc>
        <w:tc>
          <w:tcPr>
            <w:tcW w:type="dxa" w:w="1800"/>
          </w:tcPr>
          <w:p>
            <w:r>
              <w:t xml:space="preserve">Narrative color only; a fishing vessel radios and gets a radar fix on the same object within minutes. Does not enter the drift math (drift is measured from the radar fix, not the radio call).</w:t>
            </w:r>
          </w:p>
        </w:tc>
        <w:tc>
          <w:tcPr>
            <w:tcW w:type="dxa" w:w="1800"/>
          </w:tcPr>
          <w:p>
            <w:r>
              <w:t xml:space="preserve">None — does not affect either box or the recommendation.</w:t>
            </w:r>
          </w:p>
        </w:tc>
      </w:tr>
      <w:tr>
        <w:tc>
          <w:tcPr>
            <w:tcW w:type="dxa" w:w="1800"/>
          </w:tcPr>
          <w:p>
            <w:r>
              <w:t xml:space="preserve">MA2</w:t>
            </w:r>
          </w:p>
        </w:tc>
        <w:tc>
          <w:tcPr>
            <w:tcW w:type="dxa" w:w="1800"/>
          </w:tcPr>
          <w:p>
            <w:r>
              <w:t xml:space="preserve">Elapsed time, last radar fix → decision point (the "t" used in D2's parametric equations)</w:t>
            </w:r>
          </w:p>
        </w:tc>
        <w:tc>
          <w:tcPr>
            <w:tcW w:type="dxa" w:w="1800"/>
          </w:tcPr>
          <w:p>
            <w:r>
              <w:t xml:space="preserve">2 hours 30 minutes</w:t>
            </w:r>
          </w:p>
        </w:tc>
        <w:tc>
          <w:tcPr>
            <w:tcW w:type="dxa" w:w="1800"/>
          </w:tcPr>
          <w:p>
            <w:r>
              <w:t xml:space="preserve">Representative of a real SAR response timeline: crew muster, launch, and transit before a helicopter can be committed to a search box.</w:t>
            </w:r>
          </w:p>
        </w:tc>
        <w:tc>
          <w:tcPr>
            <w:tcW w:type="dxa" w:w="1800"/>
          </w:tcPr>
          <w:p>
            <w:r>
              <w:t xml:space="preserve">Directly scales both boxes' drift distance and both boxes' search-radius growth (Appendices C, D) by the same factor — does not by itself favor one option over the other, but a much shorter or longer time changes both search-radius magnitudes together.</w:t>
            </w:r>
          </w:p>
        </w:tc>
      </w:tr>
      <w:tr>
        <w:tc>
          <w:tcPr>
            <w:tcW w:type="dxa" w:w="1800"/>
          </w:tcPr>
          <w:p>
            <w:r>
              <w:t xml:space="preserve">MA3</w:t>
            </w:r>
          </w:p>
        </w:tc>
        <w:tc>
          <w:tcPr>
            <w:tcW w:type="dxa" w:w="1800"/>
          </w:tcPr>
          <w:p>
            <w:r>
              <w:t xml:space="preserve">Helicopter on-scene endurance remaining, before the real 85%-search-efficiency rule [S6] is applied</w:t>
            </w:r>
          </w:p>
        </w:tc>
        <w:tc>
          <w:tcPr>
            <w:tcW w:type="dxa" w:w="1800"/>
          </w:tcPr>
          <w:p>
            <w:r>
              <w:t xml:space="preserve">4.5 hours (→ 3.8 hours of search endurance)</w:t>
            </w:r>
          </w:p>
        </w:tc>
        <w:tc>
          <w:tcPr>
            <w:tcW w:type="dxa" w:w="1800"/>
          </w:tcPr>
          <w:p>
            <w:r>
              <w:t xml:space="preserve">Informed by the real H-60 MAX endurance of 6.0 hours [S7]; this scenario assumes roughly 1.5 hours of fuel has already been used for standby/transit, leaving 4.5 hours on scene.</w:t>
            </w:r>
          </w:p>
        </w:tc>
        <w:tc>
          <w:tcPr>
            <w:tcW w:type="dxa" w:w="1800"/>
          </w:tcPr>
          <w:p>
            <w:r>
              <w:t xml:space="preserve">Raises or lowers the coverage factor for </w:t>
            </w:r>
            <w:r>
              <w:rPr>
                <w:b/>
                <w:bCs/>
              </w:rPr>
              <w:t xml:space="preserve">both</w:t>
            </w:r>
            <w:r>
              <w:t xml:space="preserve"> options equally (T appears identically in both options' coverage-factor formula) — does not by itself favor one option, but a much smaller endurance value could pull both options' POD out of saturation and make the recommendation depend on box area again.</w:t>
            </w:r>
          </w:p>
        </w:tc>
      </w:tr>
      <w:tr>
        <w:tc>
          <w:tcPr>
            <w:tcW w:type="dxa" w:w="1800"/>
          </w:tcPr>
          <w:p>
            <w:r>
              <w:t xml:space="preserve">MA4</w:t>
            </w:r>
          </w:p>
        </w:tc>
        <w:tc>
          <w:tcPr>
            <w:tcW w:type="dxa" w:w="1800"/>
          </w:tcPr>
          <w:p>
            <w:r>
              <w:t xml:space="preserve">Visibility used to read the real sweep-width table [S2]</w:t>
            </w:r>
          </w:p>
        </w:tc>
        <w:tc>
          <w:tcPr>
            <w:tcW w:type="dxa" w:w="1800"/>
          </w:tcPr>
          <w:p>
            <w:r>
              <w:t xml:space="preserve">5 NM</w:t>
            </w:r>
          </w:p>
        </w:tc>
        <w:tc>
          <w:tcPr>
            <w:tcW w:type="dxa" w:w="1800"/>
          </w:tcPr>
          <w:p>
            <w:r>
              <w:t xml:space="preserve">A plausible daytime, non-adverse-weather visibility for a helicopter PIW search; chosen to select one column of the real, published sweep-width table rather than to invent a sweep-width number outright.</w:t>
            </w:r>
          </w:p>
        </w:tc>
        <w:tc>
          <w:tcPr>
            <w:tcW w:type="dxa" w:w="1800"/>
          </w:tcPr>
          <w:p>
            <w:r>
              <w:t xml:space="preserve">Same sweep width (0.4 NM) applies to both options — does not favor one over the other.</w:t>
            </w:r>
          </w:p>
        </w:tc>
      </w:tr>
      <w:tr>
        <w:tc>
          <w:tcPr>
            <w:tcW w:type="dxa" w:w="1800"/>
          </w:tcPr>
          <w:p>
            <w:r>
              <w:t xml:space="preserve">MA5</w:t>
            </w:r>
          </w:p>
        </w:tc>
        <w:tc>
          <w:tcPr>
            <w:tcW w:type="dxa" w:w="1800"/>
          </w:tcPr>
          <w:p>
            <w:r>
              <w:t xml:space="preserve">Vessel's own position (rectangular grid coordinates)</w:t>
            </w:r>
          </w:p>
        </w:tc>
        <w:tc>
          <w:tcPr>
            <w:tcW w:type="dxa" w:w="1800"/>
          </w:tcPr>
          <w:p>
            <w:r>
              <w:t xml:space="preserve">(10.0 NM east, 6.0 NM north) of the case's fixed reference point</w:t>
            </w:r>
          </w:p>
        </w:tc>
        <w:tc>
          <w:tcPr>
            <w:tcW w:type="dxa" w:w="1800"/>
          </w:tcPr>
          <w:p>
            <w:r>
              <w:t xml:space="preserve">Arbitrary, scenario-only grid placement; needed only so D1 has a concrete point to convert from.</w:t>
            </w:r>
          </w:p>
        </w:tc>
        <w:tc>
          <w:tcPr>
            <w:tcW w:type="dxa" w:w="1800"/>
          </w:tcPr>
          <w:p>
            <w:r>
              <w:t xml:space="preserve">None — a different vessel position translates both derived datums identically and does not change either box's area, the flight-hour budget, or the recommendation.</w:t>
            </w:r>
          </w:p>
        </w:tc>
      </w:tr>
      <w:tr>
        <w:tc>
          <w:tcPr>
            <w:tcW w:type="dxa" w:w="1800"/>
          </w:tcPr>
          <w:p>
            <w:r>
              <w:t xml:space="preserve">MA6</w:t>
            </w:r>
          </w:p>
        </w:tc>
        <w:tc>
          <w:tcPr>
            <w:tcW w:type="dxa" w:w="1800"/>
          </w:tcPr>
          <w:p>
            <w:r>
              <w:t xml:space="preserve">Radar bearing from vessel to person in the water</w:t>
            </w:r>
          </w:p>
        </w:tc>
        <w:tc>
          <w:tcPr>
            <w:tcW w:type="dxa" w:w="1800"/>
          </w:tcPr>
          <w:p>
            <w:r>
              <w:t xml:space="preserve">065° true</w:t>
            </w:r>
          </w:p>
        </w:tc>
        <w:tc>
          <w:tcPr>
            <w:tcW w:type="dxa" w:w="1800"/>
          </w:tcPr>
          <w:p>
            <w:r>
              <w:t xml:space="preserve">Scenario-only; needed as the polar angle for D1's conversion.</w:t>
            </w:r>
          </w:p>
        </w:tc>
        <w:tc>
          <w:tcPr>
            <w:tcW w:type="dxa" w:w="1800"/>
          </w:tcPr>
          <w:p>
            <w:r>
              <w:t xml:space="preserve">None on the recommendation, by the same reasoning as MA5.</w:t>
            </w:r>
          </w:p>
        </w:tc>
      </w:tr>
      <w:tr>
        <w:tc>
          <w:tcPr>
            <w:tcW w:type="dxa" w:w="1800"/>
          </w:tcPr>
          <w:p>
            <w:r>
              <w:t xml:space="preserve">MA7</w:t>
            </w:r>
          </w:p>
        </w:tc>
        <w:tc>
          <w:tcPr>
            <w:tcW w:type="dxa" w:w="1800"/>
          </w:tcPr>
          <w:p>
            <w:r>
              <w:t xml:space="preserve">Radar range from vessel to person in the water</w:t>
            </w:r>
          </w:p>
        </w:tc>
        <w:tc>
          <w:tcPr>
            <w:tcW w:type="dxa" w:w="1800"/>
          </w:tcPr>
          <w:p>
            <w:r>
              <w:t xml:space="preserve">0.60 NM</w:t>
            </w:r>
          </w:p>
        </w:tc>
        <w:tc>
          <w:tcPr>
            <w:tcW w:type="dxa" w:w="1800"/>
          </w:tcPr>
          <w:p>
            <w:r>
              <w:t xml:space="preserve">Scenario-only, chosen as a short range consistent with a small, low-radar-cross-section target (a person/PFD) rather than a large vessel contact; needed as the polar radius for D1's conversion.</w:t>
            </w:r>
          </w:p>
        </w:tc>
        <w:tc>
          <w:tcPr>
            <w:tcW w:type="dxa" w:w="1800"/>
          </w:tcPr>
          <w:p>
            <w:r>
              <w:t xml:space="preserve">None on the recommendation, by the same reasoning as MA5.</w:t>
            </w:r>
          </w:p>
        </w:tc>
      </w:tr>
      <w:tr>
        <w:tc>
          <w:tcPr>
            <w:tcW w:type="dxa" w:w="1800"/>
          </w:tcPr>
          <w:p>
            <w:r>
              <w:t xml:space="preserve">MA8</w:t>
            </w:r>
          </w:p>
        </w:tc>
        <w:tc>
          <w:tcPr>
            <w:tcW w:type="dxa" w:w="1800"/>
          </w:tcPr>
          <w:p>
            <w:r>
              <w:t xml:space="preserve">On-scene wind speed</w:t>
            </w:r>
          </w:p>
        </w:tc>
        <w:tc>
          <w:tcPr>
            <w:tcW w:type="dxa" w:w="1800"/>
          </w:tcPr>
          <w:p>
            <w:r>
              <w:t xml:space="preserve">20 knots</w:t>
            </w:r>
          </w:p>
        </w:tc>
        <w:tc>
          <w:tcPr>
            <w:tcW w:type="dxa" w:w="1800"/>
          </w:tcPr>
          <w:p>
            <w:r>
              <w:t xml:space="preserve">Scenario-only; a moderate breeze, plausible for an open-water SAR case.</w:t>
            </w:r>
          </w:p>
        </w:tc>
        <w:tc>
          <w:tcPr>
            <w:tcW w:type="dxa" w:w="1800"/>
          </w:tcPr>
          <w:p>
            <w:r>
              <w:t xml:space="preserve">Feeds the real leeway-speed equation [S3] (Leeway = 0.011×Wind + 0.07); a much stronger or weaker wind changes the Windward Datum's drift distance and hence its box location, but — because the box's </w:t>
            </w:r>
            <w:r>
              <w:rPr>
                <w:i/>
                <w:iCs/>
              </w:rPr>
              <w:t xml:space="preserve">size</w:t>
            </w:r>
            <w:r>
              <w:t xml:space="preserve"> is driven by the search-radius growth rate (a function of elapsed time, not wind speed), not by drift distance — this does not change the recommendation on its own.</w:t>
            </w:r>
          </w:p>
        </w:tc>
      </w:tr>
      <w:tr>
        <w:tc>
          <w:tcPr>
            <w:tcW w:type="dxa" w:w="1800"/>
          </w:tcPr>
          <w:p>
            <w:r>
              <w:t xml:space="preserve">MA9</w:t>
            </w:r>
          </w:p>
        </w:tc>
        <w:tc>
          <w:tcPr>
            <w:tcW w:type="dxa" w:w="1800"/>
          </w:tcPr>
          <w:p>
            <w:r>
              <w:t xml:space="preserve">On-scene wind direction (downwind bearing)</w:t>
            </w:r>
          </w:p>
        </w:tc>
        <w:tc>
          <w:tcPr>
            <w:tcW w:type="dxa" w:w="1800"/>
          </w:tcPr>
          <w:p>
            <w:r>
              <w:t xml:space="preserve">210° true</w:t>
            </w:r>
          </w:p>
        </w:tc>
        <w:tc>
          <w:tcPr>
            <w:tcW w:type="dxa" w:w="1800"/>
          </w:tcPr>
          <w:p>
            <w:r>
              <w:t xml:space="preserve">Scenario-only; chosen to differ from the current direction (MA11) so the two candidate boxes visibly diverge, as the case narrative requires ("they do not agree").</w:t>
            </w:r>
          </w:p>
        </w:tc>
        <w:tc>
          <w:tcPr>
            <w:tcW w:type="dxa" w:w="1800"/>
          </w:tcPr>
          <w:p>
            <w:r>
              <w:t xml:space="preserve">Changes box location, not box size or POD; does not affect the recommendation on its own.</w:t>
            </w:r>
          </w:p>
        </w:tc>
      </w:tr>
      <w:tr>
        <w:tc>
          <w:tcPr>
            <w:tcW w:type="dxa" w:w="1800"/>
          </w:tcPr>
          <w:p>
            <w:r>
              <w:t xml:space="preserve">MA10</w:t>
            </w:r>
          </w:p>
        </w:tc>
        <w:tc>
          <w:tcPr>
            <w:tcW w:type="dxa" w:w="1800"/>
          </w:tcPr>
          <w:p>
            <w:r>
              <w:t xml:space="preserve">On-scene surface current speed</w:t>
            </w:r>
          </w:p>
        </w:tc>
        <w:tc>
          <w:tcPr>
            <w:tcW w:type="dxa" w:w="1800"/>
          </w:tcPr>
          <w:p>
            <w:r>
              <w:t xml:space="preserve">1.3 knots</w:t>
            </w:r>
          </w:p>
        </w:tc>
        <w:tc>
          <w:tcPr>
            <w:tcW w:type="dxa" w:w="1800"/>
          </w:tcPr>
          <w:p>
            <w:r>
              <w:t xml:space="preserve">Scenario-only; a moderate coastal surface current.</w:t>
            </w:r>
          </w:p>
        </w:tc>
        <w:tc>
          <w:tcPr>
            <w:tcW w:type="dxa" w:w="1800"/>
          </w:tcPr>
          <w:p>
            <w:r>
              <w:t xml:space="preserve">Feeds Option B's drift distance (box location) only, by the same reasoning as MA8.</w:t>
            </w:r>
          </w:p>
        </w:tc>
      </w:tr>
      <w:tr>
        <w:tc>
          <w:tcPr>
            <w:tcW w:type="dxa" w:w="1800"/>
          </w:tcPr>
          <w:p>
            <w:r>
              <w:t xml:space="preserve">MA11</w:t>
            </w:r>
          </w:p>
        </w:tc>
        <w:tc>
          <w:tcPr>
            <w:tcW w:type="dxa" w:w="1800"/>
          </w:tcPr>
          <w:p>
            <w:r>
              <w:t xml:space="preserve">On-scene surface current direction (set)</w:t>
            </w:r>
          </w:p>
        </w:tc>
        <w:tc>
          <w:tcPr>
            <w:tcW w:type="dxa" w:w="1800"/>
          </w:tcPr>
          <w:p>
            <w:r>
              <w:t xml:space="preserve">120° true</w:t>
            </w:r>
          </w:p>
        </w:tc>
        <w:tc>
          <w:tcPr>
            <w:tcW w:type="dxa" w:w="1800"/>
          </w:tcPr>
          <w:p>
            <w:r>
              <w:t xml:space="preserve">Scenario-only; chosen to diverge from the wind direction (MA9).</w:t>
            </w:r>
          </w:p>
        </w:tc>
        <w:tc>
          <w:tcPr>
            <w:tcW w:type="dxa" w:w="1800"/>
          </w:tcPr>
          <w:p>
            <w:r>
              <w:t xml:space="preserve">Changes box location, not box size or POD; does not affect the recommendation on its own.</w:t>
            </w:r>
          </w:p>
        </w:tc>
      </w:tr>
      <w:tr>
        <w:tc>
          <w:tcPr>
            <w:tcW w:type="dxa" w:w="1800"/>
          </w:tcPr>
          <w:p>
            <w:r>
              <w:t xml:space="preserve">MA12</w:t>
            </w:r>
          </w:p>
        </w:tc>
        <w:tc>
          <w:tcPr>
            <w:tcW w:type="dxa" w:w="1800"/>
          </w:tcPr>
          <w:p>
            <w:r>
              <w:t xml:space="preserve">Set-and-drift model's search-radius growth-rate constant</w:t>
            </w:r>
          </w:p>
        </w:tc>
        <w:tc>
          <w:tcPr>
            <w:tcW w:type="dxa" w:w="1800"/>
          </w:tcPr>
          <w:p>
            <w:r>
              <w:t xml:space="preserve">0.45 kt (used as E(t) = 0.45 × t, analogous in form to the wind model's real, sourced 0.35-kt/hr leeway standard error [S3])</w:t>
            </w:r>
          </w:p>
        </w:tc>
        <w:tc>
          <w:tcPr>
            <w:tcW w:type="dxa" w:w="1800"/>
          </w:tcPr>
          <w:p>
            <w:r>
              <w:rPr>
                <w:b/>
                <w:bCs/>
              </w:rPr>
              <w:t xml:space="preserve">NOT FOUND as a published figure.</w:t>
            </w:r>
            <w:r>
              <w:t xml:space="preserve"> The CGADD tabulates a per-category leeway-speed standard error (Table H-7) for the wind-driven model, but no equivalent per-hour standard-error figure for surface-current estimates was found in the CGADD or in the NOAA/USCG SAR literature reviewed (see RESEARCH_LOG.md). This value is set to the same order of magnitude as the real wind-model figure so the two models are comparable.</w:t>
            </w:r>
          </w:p>
        </w:tc>
        <w:tc>
          <w:tcPr>
            <w:tcW w:type="dxa" w:w="1800"/>
          </w:tcPr>
          <w:p>
            <w:r>
              <w:t xml:space="preserve">This assumption's effect on the recommendation is checked mechanically against a runnable model (SEE FACILITATOR.md); its direction and size are not stated here so as not to hand the answer to a Hero, consistent with this section's own framing above.</w:t>
            </w:r>
          </w:p>
        </w:tc>
      </w:tr>
      <w:tr>
        <w:tc>
          <w:tcPr>
            <w:tcW w:type="dxa" w:w="1800"/>
          </w:tcPr>
          <w:p>
            <w:r>
              <w:t xml:space="preserve">MA13</w:t>
            </w:r>
          </w:p>
        </w:tc>
        <w:tc>
          <w:tcPr>
            <w:tcW w:type="dxa" w:w="1800"/>
          </w:tcPr>
          <w:p>
            <w:r>
              <w:t xml:space="preserve">Windward Datum's probability of containment (POC)</w:t>
            </w:r>
          </w:p>
        </w:tc>
        <w:tc>
          <w:tcPr>
            <w:tcW w:type="dxa" w:w="1800"/>
          </w:tcPr>
          <w:p>
            <w:r>
              <w:t xml:space="preserve">55%</w:t>
            </w:r>
          </w:p>
        </w:tc>
        <w:tc>
          <w:tcPr>
            <w:tcW w:type="dxa" w:w="1800"/>
          </w:tcPr>
          <w:p>
            <w:r>
              <w:t xml:space="preserve">The CGADD's Figure H-22 [S9] plots "Divergent Datums" POC-vs-search-factor curves that sit visibly below the single-point-datum curve, because Option A's real, sourced ±30° leeway divergence angle [S3] spreads the probability mass across a wider fan than a single-point datum — but the source presents this relationship only as a graph, with no companion numeric table, so no exact digit could be read to a defensible precision (see RESEARCH_LOG.md). 55% is chosen as a value below the real, sourced single-point-datum figure of 64.75% [S8] used for Option B, consistent with the graph's qualitative shape.</w:t>
            </w:r>
          </w:p>
        </w:tc>
        <w:tc>
          <w:tcPr>
            <w:tcW w:type="dxa" w:w="1800"/>
          </w:tcPr>
          <w:p>
            <w:r>
              <w:t xml:space="preserve">This assumption's effect on the recommendation is checked mechanically against a runnable model (SEE FACILITATOR.md); its direction and size are not stated here so as not to hand the answer to a Hero, consistent with this section's own framing above.</w:t>
            </w:r>
          </w:p>
        </w:tc>
      </w:tr>
    </w:tbl>
    <w:p/>
    <w:p>
      <w:pPr>
        <w:pStyle w:val="Heading2"/>
        <w:spacing w:after="120" w:before="240"/>
      </w:pPr>
      <w:r>
        <w:t xml:space="preserve">Appendix G — Sources</w:t>
      </w:r>
    </w:p>
    <w:p>
      <w:r>
        <w:t xml:space="preserve">All U.S. Coast Guard leeway-coefficient and search-planning-methodology figures in this case (Appendices A, C, D, and E) are drawn from </w:t>
      </w:r>
      <w:r>
        <w:rPr>
          <w:i/>
          <w:iCs/>
        </w:rPr>
        <w:t xml:space="preserve">The U.S. Coast Guard Addendum to the United States National Search and Rescue Supplement (NSS) to the International Aeronautical and Maritime Search and Rescue Manual (IAMSAR)</w:t>
      </w:r>
      <w:r>
        <w:t xml:space="preserve">, COMDTINST M16130.2F (Jan. 2013) — the same leeway-coefficient and set-and-drift/optimal-search-factor methodology that underlies the Coast Guard's Computer-Assisted Search Planning system and its successor, SAROPS.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Reference helicopter search speed for a Person-in-Water pattern (speed-correction factor = 1.0)</w:t>
            </w:r>
          </w:p>
        </w:tc>
        <w:tc>
          <w:tcPr>
            <w:tcW w:type="dxa" w:w="1500"/>
          </w:tcPr>
          <w:p>
            <w:r>
              <w:t xml:space="preserve">90 knots</w:t>
            </w:r>
          </w:p>
        </w:tc>
        <w:tc>
          <w:tcPr>
            <w:tcW w:type="dxa" w:w="1500"/>
          </w:tcPr>
          <w:p>
            <w:r>
              <w:t xml:space="preserve">U.S. Coast Guard — </w:t>
            </w:r>
            <w:r>
              <w:rPr>
                <w:i/>
                <w:iCs/>
              </w:rPr>
              <w:t xml:space="preserve">CGADD to the U.S. National SAR Supplement</w:t>
            </w:r>
            <w:r>
              <w:t xml:space="preserve">, COMDTINST M16130.2F, Table H-9 "Search Aircraft Speed Correction" (</w:t>
            </w:r>
            <w:hyperlink w:history="1" r:id="rIdga4ktmwdvsfodaz8hgo53">
              <w:r>
                <w:rPr>
                  <w:rStyle w:val="Hyperlink"/>
                </w:rPr>
                <w:t xml:space="preserve">link</w:t>
              </w:r>
            </w:hyperlink>
            <w:r>
              <w:t xml:space="preserve">)</w:t>
            </w:r>
          </w:p>
        </w:tc>
        <w:tc>
          <w:tcPr>
            <w:tcW w:type="dxa" w:w="1500"/>
          </w:tcPr>
          <w:p>
            <w:r>
              <w:t xml:space="preserve">2013-01</w:t>
            </w:r>
          </w:p>
        </w:tc>
        <w:tc>
          <w:tcPr>
            <w:tcW w:type="dxa" w:w="1500"/>
          </w:tcPr>
          <w:p>
            <w:r>
              <w:t xml:space="preserve">HIGH</w:t>
            </w:r>
          </w:p>
        </w:tc>
      </w:tr>
      <w:tr>
        <w:tc>
          <w:tcPr>
            <w:tcW w:type="dxa" w:w="1500"/>
          </w:tcPr>
          <w:p>
            <w:r>
              <w:t xml:space="preserve">S2</w:t>
            </w:r>
          </w:p>
        </w:tc>
        <w:tc>
          <w:tcPr>
            <w:tcW w:type="dxa" w:w="1500"/>
          </w:tcPr>
          <w:p>
            <w:r>
              <w:t xml:space="preserve">Uncorrected visual sweep width for a Person in Water wearing a PFD, helicopter search, 300 ft altitude, 5 NM visibility (0.1 NM base value × the table's own ×4 PFD footnote)</w:t>
            </w:r>
          </w:p>
        </w:tc>
        <w:tc>
          <w:tcPr>
            <w:tcW w:type="dxa" w:w="1500"/>
          </w:tcPr>
          <w:p>
            <w:r>
              <w:t xml:space="preserve">0.4 NM</w:t>
            </w:r>
          </w:p>
        </w:tc>
        <w:tc>
          <w:tcPr>
            <w:tcW w:type="dxa" w:w="1500"/>
          </w:tcPr>
          <w:p>
            <w:r>
              <w:t xml:space="preserve">U.S. Coast Guard — </w:t>
            </w:r>
            <w:r>
              <w:rPr>
                <w:i/>
                <w:iCs/>
              </w:rPr>
              <w:t xml:space="preserve">CGADD to the U.S. National SAR Supplement</w:t>
            </w:r>
            <w:r>
              <w:t xml:space="preserve">, COMDTINST M16130.2F, Table H-15 "Uncorrected Visual Sweep Width – Helicopters for Altitudes 300–500 Feet" and its PFD footnote (</w:t>
            </w:r>
            <w:hyperlink w:history="1" r:id="rIdcyckdsh8sivckkrdsqxbj">
              <w:r>
                <w:rPr>
                  <w:rStyle w:val="Hyperlink"/>
                </w:rPr>
                <w:t xml:space="preserve">link</w:t>
              </w:r>
            </w:hyperlink>
            <w:r>
              <w:t xml:space="preserve">)</w:t>
            </w:r>
          </w:p>
        </w:tc>
        <w:tc>
          <w:tcPr>
            <w:tcW w:type="dxa" w:w="1500"/>
          </w:tcPr>
          <w:p>
            <w:r>
              <w:t xml:space="preserve">2013-01</w:t>
            </w:r>
          </w:p>
        </w:tc>
        <w:tc>
          <w:tcPr>
            <w:tcW w:type="dxa" w:w="1500"/>
          </w:tcPr>
          <w:p>
            <w:r>
              <w:t xml:space="preserve">HIGH</w:t>
            </w:r>
          </w:p>
        </w:tc>
      </w:tr>
      <w:tr>
        <w:tc>
          <w:tcPr>
            <w:tcW w:type="dxa" w:w="1500"/>
          </w:tcPr>
          <w:p>
            <w:r>
              <w:t xml:space="preserve">S3</w:t>
            </w:r>
          </w:p>
        </w:tc>
        <w:tc>
          <w:tcPr>
            <w:tcW w:type="dxa" w:w="1500"/>
          </w:tcPr>
          <w:p>
            <w:r>
              <w:t xml:space="preserve">PIW ("Vertical") leeway-speed equation, divergence angle, and leeway-speed standard error</w:t>
            </w:r>
          </w:p>
        </w:tc>
        <w:tc>
          <w:tcPr>
            <w:tcW w:type="dxa" w:w="1500"/>
          </w:tcPr>
          <w:p>
            <w:r>
              <w:t xml:space="preserve">Leeway (kts) = 0.011 × Wind (kts) + 0.07 kts; divergence ±30°; standard error 0.35 kt</w:t>
            </w:r>
          </w:p>
        </w:tc>
        <w:tc>
          <w:tcPr>
            <w:tcW w:type="dxa" w:w="1500"/>
          </w:tcPr>
          <w:p>
            <w:r>
              <w:t xml:space="preserve">U.S. Coast Guard — </w:t>
            </w:r>
            <w:r>
              <w:rPr>
                <w:i/>
                <w:iCs/>
              </w:rPr>
              <w:t xml:space="preserve">CGADD to the U.S. National SAR Supplement</w:t>
            </w:r>
            <w:r>
              <w:t xml:space="preserve">, COMDTINST M16130.2F, Table H-7 "Leeway Speed and Direction Values for Drift Objects" (compiled from Allen &amp; Plourde, 1999) (</w:t>
            </w:r>
            <w:hyperlink w:history="1" r:id="rIdrpf_n0ypveek-qjxfgan3">
              <w:r>
                <w:rPr>
                  <w:rStyle w:val="Hyperlink"/>
                </w:rPr>
                <w:t xml:space="preserve">link</w:t>
              </w:r>
            </w:hyperlink>
            <w:r>
              <w:t xml:space="preserve">)</w:t>
            </w:r>
          </w:p>
        </w:tc>
        <w:tc>
          <w:tcPr>
            <w:tcW w:type="dxa" w:w="1500"/>
          </w:tcPr>
          <w:p>
            <w:r>
              <w:t xml:space="preserve">2013-01</w:t>
            </w:r>
          </w:p>
        </w:tc>
        <w:tc>
          <w:tcPr>
            <w:tcW w:type="dxa" w:w="1500"/>
          </w:tcPr>
          <w:p>
            <w:r>
              <w:t xml:space="preserve">HIGH</w:t>
            </w:r>
          </w:p>
        </w:tc>
      </w:tr>
      <w:tr>
        <w:tc>
          <w:tcPr>
            <w:tcW w:type="dxa" w:w="1500"/>
          </w:tcPr>
          <w:p>
            <w:r>
              <w:t xml:space="preserve">S4</w:t>
            </w:r>
          </w:p>
        </w:tc>
        <w:tc>
          <w:tcPr>
            <w:tcW w:type="dxa" w:w="1500"/>
          </w:tcPr>
          <w:p>
            <w:r>
              <w:t xml:space="preserve">Coverage-factor formulas: C = Sweep Width / Track Spacing, and C = (Sweep Width × Search Speed × Search Endurance) / Area</w:t>
            </w:r>
          </w:p>
        </w:tc>
        <w:tc>
          <w:tcPr>
            <w:tcW w:type="dxa" w:w="1500"/>
          </w:tcPr>
          <w:p>
            <w:r>
              <w:t xml:space="preserve">— (formula, not a single value)</w:t>
            </w:r>
          </w:p>
        </w:tc>
        <w:tc>
          <w:tcPr>
            <w:tcW w:type="dxa" w:w="1500"/>
          </w:tcPr>
          <w:p>
            <w:r>
              <w:t xml:space="preserve">U.S. Coast Guard — </w:t>
            </w:r>
            <w:r>
              <w:rPr>
                <w:i/>
                <w:iCs/>
              </w:rPr>
              <w:t xml:space="preserve">CGADD to the U.S. National SAR Supplement</w:t>
            </w:r>
            <w:r>
              <w:t xml:space="preserve">, COMDTINST M16130.2F, §H.5.5 "Coverage Factor (C)" (</w:t>
            </w:r>
            <w:hyperlink w:history="1" r:id="rIdhwxl5qsrft5xyhyvm2wbd">
              <w:r>
                <w:rPr>
                  <w:rStyle w:val="Hyperlink"/>
                </w:rPr>
                <w:t xml:space="preserve">link</w:t>
              </w:r>
            </w:hyperlink>
            <w:r>
              <w:t xml:space="preserve">)</w:t>
            </w:r>
          </w:p>
        </w:tc>
        <w:tc>
          <w:tcPr>
            <w:tcW w:type="dxa" w:w="1500"/>
          </w:tcPr>
          <w:p>
            <w:r>
              <w:t xml:space="preserve">2013-01</w:t>
            </w:r>
          </w:p>
        </w:tc>
        <w:tc>
          <w:tcPr>
            <w:tcW w:type="dxa" w:w="1500"/>
          </w:tcPr>
          <w:p>
            <w:r>
              <w:t xml:space="preserve">HIGH</w:t>
            </w:r>
          </w:p>
        </w:tc>
      </w:tr>
      <w:tr>
        <w:tc>
          <w:tcPr>
            <w:tcW w:type="dxa" w:w="1500"/>
          </w:tcPr>
          <w:p>
            <w:r>
              <w:t xml:space="preserve">S5</w:t>
            </w:r>
          </w:p>
        </w:tc>
        <w:tc>
          <w:tcPr>
            <w:tcW w:type="dxa" w:w="1500"/>
          </w:tcPr>
          <w:p>
            <w:r>
              <w:t xml:space="preserve">Probability-of-detection formula for Normal Search Conditions: POD = 1 − e^(−C)</w:t>
            </w:r>
          </w:p>
        </w:tc>
        <w:tc>
          <w:tcPr>
            <w:tcW w:type="dxa" w:w="1500"/>
          </w:tcPr>
          <w:p>
            <w:r>
              <w:t xml:space="preserve">— (formula, not a single value)</w:t>
            </w:r>
          </w:p>
        </w:tc>
        <w:tc>
          <w:tcPr>
            <w:tcW w:type="dxa" w:w="1500"/>
          </w:tcPr>
          <w:p>
            <w:r>
              <w:t xml:space="preserve">U.S. Coast Guard — </w:t>
            </w:r>
            <w:r>
              <w:rPr>
                <w:i/>
                <w:iCs/>
              </w:rPr>
              <w:t xml:space="preserve">CGADD to the U.S. National SAR Supplement</w:t>
            </w:r>
            <w:r>
              <w:t xml:space="preserve">, COMDTINST M16130.2F, §H.5.6.2(c) and Figure H-21 "Maritime Probability of Detection" (</w:t>
            </w:r>
            <w:hyperlink w:history="1" r:id="rIdjx_9bb5who_keetfm6q4s">
              <w:r>
                <w:rPr>
                  <w:rStyle w:val="Hyperlink"/>
                </w:rPr>
                <w:t xml:space="preserve">link</w:t>
              </w:r>
            </w:hyperlink>
            <w:r>
              <w:t xml:space="preserve">)</w:t>
            </w:r>
          </w:p>
        </w:tc>
        <w:tc>
          <w:tcPr>
            <w:tcW w:type="dxa" w:w="1500"/>
          </w:tcPr>
          <w:p>
            <w:r>
              <w:t xml:space="preserve">2013-01</w:t>
            </w:r>
          </w:p>
        </w:tc>
        <w:tc>
          <w:tcPr>
            <w:tcW w:type="dxa" w:w="1500"/>
          </w:tcPr>
          <w:p>
            <w:r>
              <w:t xml:space="preserve">HIGH</w:t>
            </w:r>
          </w:p>
        </w:tc>
      </w:tr>
      <w:tr>
        <w:tc>
          <w:tcPr>
            <w:tcW w:type="dxa" w:w="1500"/>
          </w:tcPr>
          <w:p>
            <w:r>
              <w:t xml:space="preserve">S6</w:t>
            </w:r>
          </w:p>
        </w:tc>
        <w:tc>
          <w:tcPr>
            <w:tcW w:type="dxa" w:w="1500"/>
          </w:tcPr>
          <w:p>
            <w:r>
              <w:t xml:space="preserve">Search endurance = 85% of on-scene endurance (remaining 15% reserved for identifying sighted objects and end-of-leg turns)</w:t>
            </w:r>
          </w:p>
        </w:tc>
        <w:tc>
          <w:tcPr>
            <w:tcW w:type="dxa" w:w="1500"/>
          </w:tcPr>
          <w:p>
            <w:r>
              <w:t xml:space="preserve">85%</w:t>
            </w:r>
          </w:p>
        </w:tc>
        <w:tc>
          <w:tcPr>
            <w:tcW w:type="dxa" w:w="1500"/>
          </w:tcPr>
          <w:p>
            <w:r>
              <w:t xml:space="preserve">U.S. Coast Guard — </w:t>
            </w:r>
            <w:r>
              <w:rPr>
                <w:i/>
                <w:iCs/>
              </w:rPr>
              <w:t xml:space="preserve">CGADD to the U.S. National SAR Supplement</w:t>
            </w:r>
            <w:r>
              <w:t xml:space="preserve">, COMDTINST M16130.2F, §H.5.2.2 (</w:t>
            </w:r>
            <w:hyperlink w:history="1" r:id="rId2eyr0r441vo6bu3jn5v-c">
              <w:r>
                <w:rPr>
                  <w:rStyle w:val="Hyperlink"/>
                </w:rPr>
                <w:t xml:space="preserve">link</w:t>
              </w:r>
            </w:hyperlink>
            <w:r>
              <w:t xml:space="preserve">)</w:t>
            </w:r>
          </w:p>
        </w:tc>
        <w:tc>
          <w:tcPr>
            <w:tcW w:type="dxa" w:w="1500"/>
          </w:tcPr>
          <w:p>
            <w:r>
              <w:t xml:space="preserve">2013-01</w:t>
            </w:r>
          </w:p>
        </w:tc>
        <w:tc>
          <w:tcPr>
            <w:tcW w:type="dxa" w:w="1500"/>
          </w:tcPr>
          <w:p>
            <w:r>
              <w:t xml:space="preserve">HIGH</w:t>
            </w:r>
          </w:p>
        </w:tc>
      </w:tr>
      <w:tr>
        <w:tc>
          <w:tcPr>
            <w:tcW w:type="dxa" w:w="1500"/>
          </w:tcPr>
          <w:p>
            <w:r>
              <w:t xml:space="preserve">S7</w:t>
            </w:r>
          </w:p>
        </w:tc>
        <w:tc>
          <w:tcPr>
            <w:tcW w:type="dxa" w:w="1500"/>
          </w:tcPr>
          <w:p>
            <w:r>
              <w:t xml:space="preserve">H-60 (MH-60T) maximum aircraft endurance</w:t>
            </w:r>
          </w:p>
        </w:tc>
        <w:tc>
          <w:tcPr>
            <w:tcW w:type="dxa" w:w="1500"/>
          </w:tcPr>
          <w:p>
            <w:r>
              <w:t xml:space="preserve">6.0 hours</w:t>
            </w:r>
          </w:p>
        </w:tc>
        <w:tc>
          <w:tcPr>
            <w:tcW w:type="dxa" w:w="1500"/>
          </w:tcPr>
          <w:p>
            <w:r>
              <w:t xml:space="preserve">U.S. Coast Guard — </w:t>
            </w:r>
            <w:r>
              <w:rPr>
                <w:i/>
                <w:iCs/>
              </w:rPr>
              <w:t xml:space="preserve">CGADD to the U.S. National SAR Supplement</w:t>
            </w:r>
            <w:r>
              <w:t xml:space="preserve">, COMDTINST M16130.2F, Table 5-3 "Coast Guard Aircraft Characteristics" (</w:t>
            </w:r>
            <w:hyperlink w:history="1" r:id="rIdgksyn2zvsnwqx9oyv4kgb">
              <w:r>
                <w:rPr>
                  <w:rStyle w:val="Hyperlink"/>
                </w:rPr>
                <w:t xml:space="preserve">link</w:t>
              </w:r>
            </w:hyperlink>
            <w:r>
              <w:t xml:space="preserve">)</w:t>
            </w:r>
          </w:p>
        </w:tc>
        <w:tc>
          <w:tcPr>
            <w:tcW w:type="dxa" w:w="1500"/>
          </w:tcPr>
          <w:p>
            <w:r>
              <w:t xml:space="preserve">2013-01</w:t>
            </w:r>
          </w:p>
        </w:tc>
        <w:tc>
          <w:tcPr>
            <w:tcW w:type="dxa" w:w="1500"/>
          </w:tcPr>
          <w:p>
            <w:r>
              <w:t xml:space="preserve">HIGH</w:t>
            </w:r>
          </w:p>
        </w:tc>
      </w:tr>
      <w:tr>
        <w:tc>
          <w:tcPr>
            <w:tcW w:type="dxa" w:w="1500"/>
          </w:tcPr>
          <w:p>
            <w:r>
              <w:t xml:space="preserve">S8</w:t>
            </w:r>
          </w:p>
        </w:tc>
        <w:tc>
          <w:tcPr>
            <w:tcW w:type="dxa" w:w="1500"/>
          </w:tcPr>
          <w:p>
            <w:r>
              <w:t xml:space="preserve">Probability of containment produced by an optimal search factor of 1.1, single-point datum, prior to any searching</w:t>
            </w:r>
          </w:p>
        </w:tc>
        <w:tc>
          <w:tcPr>
            <w:tcW w:type="dxa" w:w="1500"/>
          </w:tcPr>
          <w:p>
            <w:r>
              <w:t xml:space="preserve">64.75%</w:t>
            </w:r>
          </w:p>
        </w:tc>
        <w:tc>
          <w:tcPr>
            <w:tcW w:type="dxa" w:w="1500"/>
          </w:tcPr>
          <w:p>
            <w:r>
              <w:t xml:space="preserve">U.S. Coast Guard — </w:t>
            </w:r>
            <w:r>
              <w:rPr>
                <w:i/>
                <w:iCs/>
              </w:rPr>
              <w:t xml:space="preserve">CGADD to the U.S. National SAR Supplement</w:t>
            </w:r>
            <w:r>
              <w:t xml:space="preserve">, COMDTINST M16130.2F, §H.5.6.3(a)(1) and Figure H-24 "Manual Solution for Square Search Area" (</w:t>
            </w:r>
            <w:hyperlink w:history="1" r:id="rIdixc5_5mxj0mkdpmxr9o-k">
              <w:r>
                <w:rPr>
                  <w:rStyle w:val="Hyperlink"/>
                </w:rPr>
                <w:t xml:space="preserve">link</w:t>
              </w:r>
            </w:hyperlink>
            <w:r>
              <w:t xml:space="preserve">)</w:t>
            </w:r>
          </w:p>
        </w:tc>
        <w:tc>
          <w:tcPr>
            <w:tcW w:type="dxa" w:w="1500"/>
          </w:tcPr>
          <w:p>
            <w:r>
              <w:t xml:space="preserve">2013-01</w:t>
            </w:r>
          </w:p>
        </w:tc>
        <w:tc>
          <w:tcPr>
            <w:tcW w:type="dxa" w:w="1500"/>
          </w:tcPr>
          <w:p>
            <w:r>
              <w:t xml:space="preserve">HIGH</w:t>
            </w:r>
          </w:p>
        </w:tc>
      </w:tr>
      <w:tr>
        <w:tc>
          <w:tcPr>
            <w:tcW w:type="dxa" w:w="1500"/>
          </w:tcPr>
          <w:p>
            <w:r>
              <w:t xml:space="preserve">S9</w:t>
            </w:r>
          </w:p>
        </w:tc>
        <w:tc>
          <w:tcPr>
            <w:tcW w:type="dxa" w:w="1500"/>
          </w:tcPr>
          <w:p>
            <w:r>
              <w:t xml:space="preserve">Divergent-datum POC curves sit below the single-point-datum curve at a given search factor (graph, no companion table of exact values) — grounds MA13's qualitative direction only, not its exact digit</w:t>
            </w:r>
          </w:p>
        </w:tc>
        <w:tc>
          <w:tcPr>
            <w:tcW w:type="dxa" w:w="1500"/>
          </w:tcPr>
          <w:p>
            <w:r>
              <w:t xml:space="preserve">— (qualitative)</w:t>
            </w:r>
          </w:p>
        </w:tc>
        <w:tc>
          <w:tcPr>
            <w:tcW w:type="dxa" w:w="1500"/>
          </w:tcPr>
          <w:p>
            <w:r>
              <w:t xml:space="preserve">U.S. Coast Guard — </w:t>
            </w:r>
            <w:r>
              <w:rPr>
                <w:i/>
                <w:iCs/>
              </w:rPr>
              <w:t xml:space="preserve">CGADD to the U.S. National SAR Supplement</w:t>
            </w:r>
            <w:r>
              <w:t xml:space="preserve">, COMDTINST M16130.2F, Figure H-22 "Probability of Containment (POC) For Single Point and Divergent Datums" (</w:t>
            </w:r>
            <w:hyperlink w:history="1" r:id="rIdv5db0ajfj10xk5vjrzoev">
              <w:r>
                <w:rPr>
                  <w:rStyle w:val="Hyperlink"/>
                </w:rPr>
                <w:t xml:space="preserve">link</w:t>
              </w:r>
            </w:hyperlink>
            <w:r>
              <w:t xml:space="preserve">)</w:t>
            </w:r>
          </w:p>
        </w:tc>
        <w:tc>
          <w:tcPr>
            <w:tcW w:type="dxa" w:w="1500"/>
          </w:tcPr>
          <w:p>
            <w:r>
              <w:t xml:space="preserve">2013-01</w:t>
            </w:r>
          </w:p>
        </w:tc>
        <w:tc>
          <w:tcPr>
            <w:tcW w:type="dxa" w:w="1500"/>
          </w:tcPr>
          <w:p>
            <w:r>
              <w:t xml:space="preserve">MEDIUM</w:t>
            </w:r>
          </w:p>
        </w:tc>
      </w:tr>
      <w:tr>
        <w:tc>
          <w:tcPr>
            <w:tcW w:type="dxa" w:w="1500"/>
          </w:tcPr>
          <w:p>
            <w:r>
              <w:t xml:space="preserve">S10</w:t>
            </w:r>
          </w:p>
        </w:tc>
        <w:tc>
          <w:tcPr>
            <w:tcW w:type="dxa" w:w="1500"/>
          </w:tcPr>
          <w:p>
            <w:r>
              <w:t xml:space="preserve">Total probable error of position (E) as the 50%-containment radius; search radius = optimal search factor (fs) × E</w:t>
            </w:r>
          </w:p>
        </w:tc>
        <w:tc>
          <w:tcPr>
            <w:tcW w:type="dxa" w:w="1500"/>
          </w:tcPr>
          <w:p>
            <w:r>
              <w:t xml:space="preserve">— (concept/formula, not a single value)</w:t>
            </w:r>
          </w:p>
        </w:tc>
        <w:tc>
          <w:tcPr>
            <w:tcW w:type="dxa" w:w="1500"/>
          </w:tcPr>
          <w:p>
            <w:r>
              <w:t xml:space="preserve">U.S. Coast Guard — </w:t>
            </w:r>
            <w:r>
              <w:rPr>
                <w:i/>
                <w:iCs/>
              </w:rPr>
              <w:t xml:space="preserve">CGADD to the U.S. National SAR Supplement</w:t>
            </w:r>
            <w:r>
              <w:t xml:space="preserve">, COMDTINST M16130.2F, §H.2.1.1 and §H.5.6.3 (</w:t>
            </w:r>
            <w:hyperlink w:history="1" r:id="rIdm5ygwzwbe4pkj5_g-uhw2">
              <w:r>
                <w:rPr>
                  <w:rStyle w:val="Hyperlink"/>
                </w:rPr>
                <w:t xml:space="preserve">link</w:t>
              </w:r>
            </w:hyperlink>
            <w:r>
              <w:t xml:space="preserve">)</w:t>
            </w:r>
          </w:p>
        </w:tc>
        <w:tc>
          <w:tcPr>
            <w:tcW w:type="dxa" w:w="1500"/>
          </w:tcPr>
          <w:p>
            <w:r>
              <w:t xml:space="preserve">2013-01</w:t>
            </w:r>
          </w:p>
        </w:tc>
        <w:tc>
          <w:tcPr>
            <w:tcW w:type="dxa" w:w="1500"/>
          </w:tcPr>
          <w:p>
            <w:r>
              <w:t xml:space="preserve">HIGH</w:t>
            </w:r>
          </w:p>
        </w:tc>
      </w:tr>
    </w:tbl>
    <w:p/>
    <w:p>
      <w:r>
        <w:rPr>
          <w:b/>
          <w:bCs/>
        </w:rPr>
        <w:t xml:space="preserve">Supplemental — for context.</w:t>
      </w:r>
      <w:r>
        <w:t xml:space="preserve"> This case's methodology (leeway drift modeling combined with a Monte-Carlo/optimal-search-factor search plan) is the same real methodology the Coast Guard used in the well-documented, publicly reported 2013 rescue of Long Island lobsterman John Aldridge, who survived roughly 11–12 hours in open water after falling overboard without a life jacket and was found and hoisted to safety by a Coast Guard helicopter after a SAROPS-guided search: </w:t>
      </w:r>
      <w:hyperlink w:history="1" r:id="rIdpjjyjemzdzqolnlbx2kns">
        <w:r>
          <w:rPr>
            <w:rStyle w:val="Hyperlink"/>
          </w:rPr>
          <w:t xml:space="preserve">"Lost at sea: A harrowing story of survival," CBS News</w:t>
        </w:r>
      </w:hyperlink>
      <w:r>
        <w:t xml:space="preserve"> (accessed 2026-08-30). This is offered as evidence that both candidate models in this case rest on methodology that has found people, in keeping with this case's framing around the successful-rescue decision rather than peril (SEE FACILITATOR.md).</w:t>
      </w:r>
    </w:p>
    <w:p>
      <w:pPr>
        <w:pStyle w:val="Heading3"/>
        <w:spacing w:after="120" w:before="240"/>
      </w:pPr>
      <w:r>
        <w:t xml:space="preserve">Appendix H — "How To…" Math Questions To Research</w:t>
      </w:r>
    </w:p>
    <w:p>
      <w:r>
        <w:rPr>
          <w:b/>
          <w:bCs/>
        </w:rPr>
        <w:t xml:space="preserve">Vocabulary terms</w:t>
      </w:r>
    </w:p>
    <w:p>
      <w:pPr>
        <w:ind w:left="360"/>
      </w:pPr>
      <w:r>
        <w:t xml:space="preserve">- Polar Coordinate</w:t>
      </w:r>
    </w:p>
    <w:p>
      <w:pPr>
        <w:ind w:left="360"/>
      </w:pPr>
      <w:r>
        <w:t xml:space="preserve">- Parametric Equation</w:t>
      </w:r>
    </w:p>
    <w:p>
      <w:pPr>
        <w:ind w:left="360"/>
      </w:pPr>
      <w:r>
        <w:t xml:space="preserve">- Parameter</w:t>
      </w:r>
    </w:p>
    <w:p>
      <w:r>
        <w:rPr>
          <w:b/>
          <w:bCs/>
        </w:rPr>
        <w:t xml:space="preserve">"How to…" questions</w:t>
      </w:r>
    </w:p>
    <w:p>
      <w:pPr>
        <w:ind w:left="360"/>
      </w:pPr>
      <w:r>
        <w:t xml:space="preserve">- How to convert a point between rectangular and polar coordinates</w:t>
      </w:r>
    </w:p>
    <w:p>
      <w:pPr>
        <w:ind w:left="360"/>
      </w:pPr>
      <w:r>
        <w:t xml:space="preserve">- How to graph a polar equation</w:t>
      </w:r>
    </w:p>
    <w:p>
      <w:pPr>
        <w:ind w:left="360"/>
      </w:pPr>
      <w:r>
        <w:t xml:space="preserve">- How to eliminate the parameter to find a rectangular equation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a4ktmwdvsfodaz8hgo53" Type="http://schemas.openxmlformats.org/officeDocument/2006/relationships/hyperlink" Target="https://rdept.cgaux.org/documents/ManualsTemp/USCG_SAR_Addendum.pdf" TargetMode="External"/><Relationship Id="rIdcyckdsh8sivckkrdsqxbj" Type="http://schemas.openxmlformats.org/officeDocument/2006/relationships/hyperlink" Target="https://rdept.cgaux.org/documents/ManualsTemp/USCG_SAR_Addendum.pdf" TargetMode="External"/><Relationship Id="rIdrpf_n0ypveek-qjxfgan3" Type="http://schemas.openxmlformats.org/officeDocument/2006/relationships/hyperlink" Target="https://rdept.cgaux.org/documents/ManualsTemp/USCG_SAR_Addendum.pdf" TargetMode="External"/><Relationship Id="rIdhwxl5qsrft5xyhyvm2wbd" Type="http://schemas.openxmlformats.org/officeDocument/2006/relationships/hyperlink" Target="https://rdept.cgaux.org/documents/ManualsTemp/USCG_SAR_Addendum.pdf" TargetMode="External"/><Relationship Id="rIdjx_9bb5who_keetfm6q4s" Type="http://schemas.openxmlformats.org/officeDocument/2006/relationships/hyperlink" Target="https://rdept.cgaux.org/documents/ManualsTemp/USCG_SAR_Addendum.pdf" TargetMode="External"/><Relationship Id="rId2eyr0r441vo6bu3jn5v-c" Type="http://schemas.openxmlformats.org/officeDocument/2006/relationships/hyperlink" Target="https://rdept.cgaux.org/documents/ManualsTemp/USCG_SAR_Addendum.pdf" TargetMode="External"/><Relationship Id="rIdgksyn2zvsnwqx9oyv4kgb" Type="http://schemas.openxmlformats.org/officeDocument/2006/relationships/hyperlink" Target="https://rdept.cgaux.org/documents/ManualsTemp/USCG_SAR_Addendum.pdf" TargetMode="External"/><Relationship Id="rIdixc5_5mxj0mkdpmxr9o-k" Type="http://schemas.openxmlformats.org/officeDocument/2006/relationships/hyperlink" Target="https://rdept.cgaux.org/documents/ManualsTemp/USCG_SAR_Addendum.pdf" TargetMode="External"/><Relationship Id="rIdv5db0ajfj10xk5vjrzoev" Type="http://schemas.openxmlformats.org/officeDocument/2006/relationships/hyperlink" Target="https://rdept.cgaux.org/documents/ManualsTemp/USCG_SAR_Addendum.pdf" TargetMode="External"/><Relationship Id="rIdm5ygwzwbe4pkj5_g-uhw2" Type="http://schemas.openxmlformats.org/officeDocument/2006/relationships/hyperlink" Target="https://rdept.cgaux.org/documents/ManualsTemp/USCG_SAR_Addendum.pdf" TargetMode="External"/><Relationship Id="rIdpjjyjemzdzqolnlbx2kns" Type="http://schemas.openxmlformats.org/officeDocument/2006/relationships/hyperlink" Target="https://www.cbsnews.com/news/lost-at-sea-a-harrowing-story-of-surviva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2026-09-18T06:34:34.743Z</dcterms:created>
  <dcterms:modified xsi:type="dcterms:W3CDTF">2026-09-18T06:34:34.748Z</dcterms:modified>
</cp:coreProperties>
</file>

<file path=docProps/custom.xml><?xml version="1.0" encoding="utf-8"?>
<Properties xmlns="http://schemas.openxmlformats.org/officeDocument/2006/custom-properties" xmlns:vt="http://schemas.openxmlformats.org/officeDocument/2006/docPropsVTypes"/>
</file>