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Wolf Interval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The Wolf Interval</w:t>
      </w:r>
    </w:p>
    <w:p>
      <w:pPr>
        <w:pStyle w:val="Heading2"/>
        <w:spacing w:after="120" w:before="240"/>
      </w:pPr>
      <w:r>
        <w:t xml:space="preserve">Intro</w:t>
      </w:r>
    </w:p>
    <w:p>
      <w:r>
        <w:t xml:space="preserve">Frame the format for the room: this is a case study, not a worksheet. Heroes read the case, do the math themselves, and defend a firm stance to peers. There is no "the teacher will tell us the answer" moment. Name the opener before anything else: "Iris has to tune this harpsichord exactly once, before Thursday. Which way does she go?"</w:t>
      </w:r>
    </w:p>
    <w:p>
      <w:pPr>
        <w:pStyle w:val="Heading2"/>
        <w:spacing w:after="120" w:before="240"/>
      </w:pPr>
      <w:r>
        <w:t xml:space="preserve">Launch</w:t>
      </w:r>
    </w:p>
    <w:p>
      <w:r>
        <w:t xml:space="preserve">Play or read aloud a short (thirty-to-sixty-second) audio or video clip contrasting a pure perfect fifth with an equal-tempered one, if available (a tuning demonstration or a synthesized comparison is easy to find or build with any tone generator). If no audio is available, read the Overview aloud, slowly, emphasizing the sensory beat description ("a low, grinding beat... like two voices arguing instead of singing").</w:t>
      </w:r>
    </w:p>
    <w:p>
      <w:pPr>
        <w:pStyle w:val="Heading2"/>
        <w:spacing w:after="120" w:before="240"/>
      </w:pPr>
      <w:r>
        <w:t xml:space="preserve">Anchor 1 — TAKE A STAND AND VOTE</w:t>
      </w:r>
    </w:p>
    <w:p>
      <w:r>
        <w:t xml:space="preserve">No reasoning yet, just commit. "Is anyone courageous enough to stand with Just Intonation? With Equal Temperament?" Cold-call two or three Heroes from each side to give a one-sentence gut reaction only — no numbers allowed yet. Record the vote split; you will return to it at Close.</w:t>
      </w:r>
    </w:p>
    <w:p>
      <w:pPr>
        <w:pStyle w:val="Heading2"/>
        <w:spacing w:after="120" w:before="240"/>
      </w:pPr>
      <w:r>
        <w:t xml:space="preserve">Anchor 2 — WHAT IS THE PROBLEM WE'RE SOLVING?</w:t>
      </w:r>
    </w:p>
    <w:p>
      <w:r>
        <w:t xml:space="preserve">"Is this the right question? What do you mean by 'pure'? What do you mean by 'usable'?" Let confusion grow deliberately — a Hero will likely say "just make it sound good everywhere," and the guide's job is to press: "Can you define 'good' with a number? The case gives you one — find it." Do not let anyone open Appendix B yet. If the room lands on "we don't actually know what we're optimizing," say so out loud: "Wow, this is a genuinely hard problem to even state." That stall is the win, not a delay.</w:t>
      </w:r>
    </w:p>
    <w:p>
      <w:pPr>
        <w:pStyle w:val="Heading2"/>
        <w:spacing w:after="120" w:before="240"/>
      </w:pPr>
      <w:r>
        <w:t xml:space="preserve">Anchor 3 — WHAT IS THE PROCESS?</w:t>
      </w:r>
    </w:p>
    <w:p>
      <w:r>
        <w:t xml:space="preserve">"If we go through Appendix A and B and find the numbers, how will we decide?" Push for a specific decision rule before anyone computes anything: "average mistuning," "worst-case mistuning," "cost to the actual repertoire"? Re-ask: "Is our question still the right question, now that we've named a decision rule?" Most rooms will propose "lowest average mistuning wins" — let them. The Data Deep Dive is about to make that rule collapse in an interesting way.</w:t>
      </w:r>
    </w:p>
    <w:p>
      <w:pPr>
        <w:pStyle w:val="Heading2"/>
        <w:spacing w:after="120" w:before="240"/>
      </w:pPr>
      <w:r>
        <w:t xml:space="preserve">Anchor 4 — WHAT DON'T WE KNOW?</w:t>
      </w:r>
    </w:p>
    <w:p>
      <w:r>
        <w:t xml:space="preserve">"Do we need to make assumptions? Which ones are critical?" Steer toward: the case never says exactly which key the wolf lands on (Appendix B says so explicitly) — is that a problem? Do we need to assume anything about how the consort's season might change? (This sets up the Twist.)</w:t>
      </w:r>
    </w:p>
    <w:p>
      <w:pPr>
        <w:pStyle w:val="Heading2"/>
        <w:spacing w:after="120" w:before="240"/>
      </w:pPr>
      <w:r>
        <w:t xml:space="preserve">Data Deep Dive</w:t>
      </w:r>
    </w:p>
    <w:p>
      <w:r>
        <w:t xml:space="preserve">Now, and only now, open Appendix A and B. Walk the room through the prime-factorization proof (D1) together at the board — 3^12 has only 3s, 2^k has only 2s, they can never match — before letting anyone touch the comma arithmetic. Then compute the comma (D2), split it (D3), and build the per-key table (D5). The room will discover, usually with an audible reaction, that the AVERAGE mistuning is mathematically identical for both options (~1.955 cents/key either way) — this is the single most important moment in the discussion. If nobody notices, ask directly: "Compare your two 'total mistuning' rows. What do you see?"</w:t>
      </w:r>
    </w:p>
    <w:p>
      <w:pPr>
        <w:pStyle w:val="Heading2"/>
        <w:spacing w:after="120" w:before="240"/>
      </w:pPr>
      <w:r>
        <w:t xml:space="preserve">Twist</w:t>
      </w:r>
    </w:p>
    <w:p>
      <w:r>
        <w:t xml:space="preserve">At roughly the 15-minute mark: the consort's manager calls with news that wasn't in the original packet. Appendix C's Fantasia in A-flat major — the one piece already sitting exactly in the wolf key under Option A's convention (Appendix B: the wolf sits at A-flat/G#, diametrically opposite D, precisely because real builders place it as far as possible from the keys they need pure) — was easy to write off as "just one performance, we'll manage." Not anymore: the guest violinist the consort just booked for next month's high-profile benefit concert has built her entire feature spot around that Fantasia. It is no longer a piece the consort can quietly drop or reschedule. Heroes who voted A on the theory of "it's only one performance, in a piece we could always cut" must now reckon with a piece that has become the centerpiece of the season's biggest booking. "You have 60 seconds. Are you changing your plan — or not?"</w:t>
      </w:r>
    </w:p>
    <w:p>
      <w:r>
        <w:rPr>
          <w:i/>
          <w:iCs/>
        </w:rPr>
        <w:t xml:space="preserve">Guide note:</w:t>
      </w:r>
      <w:r>
        <w:t xml:space="preserve"> this only works because Appendix B commits to a specific, disclosed convention for where the wolf sits (at A-flat/G#) and Appendix C already, honestly, shows one programmed piece sitting exactly there — the Twist does not introduce a new fact about WHERE the wolf is, only a new fact about how expendable that one piece actually turns out to be. If a Hero pushes back with "the case never said the wolf HAD to be there," the honest answer is "correct, Appendix B calls it a tuner's choice — and Iris chose the convention real builders use for exactly this reason: to keep the wolf as far as possible from her most-used keys, which is what Appendix C already shows her having done, one edge case and all."</w:t>
      </w:r>
    </w:p>
    <w:p>
      <w:r>
        <w:t xml:space="preserve">The follow-up is the point: "What just broke in your original model? Were you wrong about the math — or just missing information the case never promised you'd always have?" (The math was never wrong; the assumption that the repertoire would hold still was.)</w:t>
      </w:r>
    </w:p>
    <w:p>
      <w:pPr>
        <w:pStyle w:val="Heading2"/>
        <w:spacing w:after="120" w:before="240"/>
      </w:pPr>
      <w:r>
        <w:t xml:space="preserve">Close</w:t>
      </w:r>
    </w:p>
    <w:p>
      <w:r>
        <w:t xml:space="preserve">VOTE AGAIN. "Did we ask the right question?" "What math was new to you today, and how did you attack it?" Compare the new vote split to Anchor 1's. Ask directly whether anyone changed sides because of the AVERAGE-is-identical finding versus the Twist — those are two different reasons to move, and naming which one moved a Hero is itself useful data for next time.</w:t>
      </w:r>
    </w:p>
    <w:p>
      <w:pPr>
        <w:pStyle w:val="Heading2"/>
        <w:spacing w:after="120" w:before="240"/>
      </w:pPr>
      <w:r>
        <w:t xml:space="preserve">Lessons Learned</w:t>
      </w:r>
    </w:p>
    <w:p>
      <w:pPr>
        <w:ind w:left="360"/>
      </w:pPr>
      <w:r>
        <w:t xml:space="preserve">- The Pythagorean comma cannot be eliminated, only relocated — a genuine, provable fact from prime   factorization (2 and 3 share no prime factor), not an approximation or a design choice.</w:t>
      </w:r>
    </w:p>
    <w:p>
      <w:pPr>
        <w:ind w:left="360"/>
      </w:pPr>
      <w:r>
        <w:t xml:space="preserve">- "Average" and "worst case" can tell completely different stories about the exact same data. A   case can be a mathematical tie on one metric and a landslide on another.</w:t>
      </w:r>
    </w:p>
    <w:p>
      <w:pPr>
        <w:ind w:left="360"/>
      </w:pPr>
      <w:r>
        <w:t xml:space="preserve">- A plan that depends on "we'll just avoid X" is fragile to any new information that removes the   option to avoid X. Check whether your plan has that shape before committing to it.</w:t>
      </w:r>
    </w:p>
    <w:p>
      <w:pPr>
        <w:pStyle w:val="Heading2"/>
        <w:spacing w:after="120" w:before="240"/>
      </w:pPr>
      <w:r>
        <w:t xml:space="preserve">Standards Touched On</w:t>
      </w:r>
    </w:p>
    <w:p>
      <w:r>
        <w:t xml:space="preserve">Prime; Composite; How to factor a number; How to divide a fraction by a whole number; How to divide a whole number by a fraction. (Also exercises, without formally claiming credit toward </w:t>
      </w:r>
      <w:r>
        <w:rPr>
          <w:rFonts w:ascii="Courier New" w:cs="Courier New" w:eastAsia="Courier New" w:hAnsi="Courier New"/>
        </w:rPr>
        <w:t xml:space="preserve">new_coverage[]</w:t>
      </w:r>
      <w:r>
        <w:t xml:space="preserve">: Exponent (also Power) and How to evaluate an exponential expression, both already well-covered in the spine, used throughout Appendix B's (3/2)^12 and 2^7 calculations.)</w:t>
      </w:r>
    </w:p>
    <w:p>
      <w:pPr>
        <w:pStyle w:val="Heading2"/>
        <w:spacing w:after="120" w:before="240"/>
      </w:pPr>
      <w:r>
        <w:t xml:space="preserve">Argument for A (Just Intonation)</w:t>
      </w:r>
    </w:p>
    <w:p>
      <w:r>
        <w:t xml:space="preserve">Option A gives eleven of the Fenice's twelve keys, including the consort's own contractually-named home key of D major, an exact, mathematically perfect 0 cents of mistuning — literally what the build contract specified. Option B never achieves that in any key, not even D major. Weighed against the consort's actual programmed season (Appendix C), the D-major, A-major and G-major pieces alone are 13 of the season's 17 programmed performances — all inside the pure zone under Option A — and only the single Fantasia in A-flat major sits exactly where the wolf lands. A Hero defending A is betting that "avoid one bad key" is a manageable, plannable constraint for a working ensemble that controls its own programming.</w:t>
      </w:r>
    </w:p>
    <w:p>
      <w:pPr>
        <w:pStyle w:val="Heading2"/>
        <w:spacing w:after="120" w:before="240"/>
      </w:pPr>
      <w:r>
        <w:t xml:space="preserve">Argument for B (Equal Temperament)</w:t>
      </w:r>
    </w:p>
    <w:p>
      <w:r>
        <w:t xml:space="preserve">Averaged across all twelve keys, Option B carries exactly the same total mistuning as Option A — both distribute the identical ~23.46-cent Pythagorean comma (Appendix B), an algebraic identity forced by Appendix A's prime-factorization proof, not a coincidence of this case's specific numbers. The purity Option A buys in eleven keys is therefore not free: it is paid for by concentrating the entire comma into one catastrophically mistuned key (~0.235 of a semitone, about 12x worse than Option B's worst key), which the consort must permanently plan around and can never safely use. Option B's worst key is only ~1.955 cents off — small enough that the case's own Appendix B computation shows it as under 2% of a semitone — and every key stays usable without restriction, including any future repertoire (like the Twist's benefit concert) the consort has not yet programmed.</w:t>
      </w:r>
    </w:p>
    <w:p>
      <w:pPr>
        <w:pStyle w:val="Heading2"/>
        <w:spacing w:after="120" w:before="240"/>
      </w:pPr>
      <w:r>
        <w:t xml:space="preserve">The margin</w:t>
      </w:r>
    </w:p>
    <w:p>
      <w:r>
        <w:rPr>
          <w:b/>
          <w:bCs/>
        </w:rPr>
        <w:t xml:space="preserve">margin_pct = 0.0%</w:t>
      </w:r>
      <w:r>
        <w:t xml:space="preserve"> on the primary metric (average fraction-of-a-semitone mistuning per key). This is not a rounding coincidence or a retuned constraint — it is a provable algebraic identity: both options distribute the exact same total Pythagorean comma (Appendix A's prime-factorization proof: the comma can be relocated among the twelve fifths, never eliminated or unevenly erased on average) across the same twelve keys, so </w:t>
      </w:r>
      <w:r>
        <w:rPr>
          <w:rFonts w:ascii="Courier New" w:cs="Courier New" w:eastAsia="Courier New" w:hAnsi="Courier New"/>
        </w:rPr>
        <w:t xml:space="preserve">total / 12</w:t>
      </w:r>
      <w:r>
        <w:t xml:space="preserve"> is identical regardless of the distribution chosen.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 reproduces this identity directly rather than re-deriving two separately-computed numbers that happen to match. The real, defensible tension in this case is NOT on the primary average metric at all — it is the tradeoff between Option A's perfect-in-eleven/never-usable-in-one shape and Option B's uniformly-mediocre-everywhere shape, which Appendix B's "worst single key's mistuning" row makes visible and which the primary average deliberately does not capture. Guides should say this out loud in the Close, not let the room believe the tie means "it doesn't matter."</w:t>
      </w:r>
    </w:p>
    <w:p>
      <w:pPr>
        <w:pStyle w:val="Heading2"/>
        <w:spacing w:after="120" w:before="240"/>
      </w:pPr>
      <w:r>
        <w:t xml:space="preserve">Five Socratic questions</w:t>
      </w:r>
    </w:p>
    <w:p>
      <w:pPr>
        <w:ind w:left="360"/>
      </w:pPr>
      <w:r>
        <w:t xml:space="preserve">1. Both options divide up exactly the same ~23.46-cent Pythagorean comma (Appendix B) — so if the average mistuning per key is mathematically identical either way, what is this discussion actually about?</w:t>
      </w:r>
    </w:p>
    <w:p>
      <w:pPr>
        <w:ind w:left="360"/>
      </w:pPr>
      <w:r>
        <w:t xml:space="preserve">2. Option A gives eleven keys a perfect 0 cents of mistuning — what has to be true about the Cantilena Consort's actual programmed repertoire (Appendix C) for that to matter more than Option B's uniformly-small mistuning in all twelve keys?</w:t>
      </w:r>
    </w:p>
    <w:p>
      <w:pPr>
        <w:ind w:left="360"/>
      </w:pPr>
      <w:r>
        <w:t xml:space="preserve">3. If a single new booking forced the Fenice into the wolf key, how many cents of mistuning would Option A suddenly owe that one piece, compared to what Option B was already quietly charging every piece on the program?</w:t>
      </w:r>
    </w:p>
    <w:p>
      <w:pPr>
        <w:ind w:left="360"/>
      </w:pPr>
      <w:r>
        <w:t xml:space="preserve">4. Iris can never make the Pythagorean comma disappear, only move it (Appendix A's prime-factorization proof) — if a future customer asked for a temperament with literally zero mistuning in every key, what would you tell them, mathematically, and why?</w:t>
      </w:r>
    </w:p>
    <w:p>
      <w:pPr>
        <w:ind w:left="360"/>
      </w:pPr>
      <w:r>
        <w:t xml:space="preserve">5. Which Hero's plan is more fragile: the one banking on "we'll simply never use the wolf key," or the one banking on "a little bit of mistuning everywhere is unnoticeable" — what evidence would change your mind about either one?</w:t>
      </w:r>
    </w:p>
    <w:p>
      <w:pPr>
        <w:ind w:left="360"/>
      </w:pPr>
      <w:r>
        <w:t xml:space="preserve">6. The trap here is treating "average mistuning" as the whole answer — what does the average hide that the per-key table in Appendix B (D5) reveals?</w:t>
      </w:r>
    </w:p>
    <w:p>
      <w:pPr>
        <w:pStyle w:val="Heading2"/>
        <w:spacing w:after="120" w:before="240"/>
      </w:pPr>
      <w:r>
        <w:t xml:space="preserve">The trap</w:t>
      </w:r>
    </w:p>
    <w:p>
      <w:r>
        <w:t xml:space="preserve">Heroes will notice — correctly — that Appendix B's two "total mistuning" rows are numerically identical, and conclude that Options A and B are therefore equally good, so the choice "doesn't matter." That conclusion is exactly the trap: it treats a tied AVERAGE as proof of tied OUTCOMES, when the real difference is in the shape of the distribution — eleven perfect keys and one catastrophic one, versus twelve uniformly slightly-imperfect keys. A Hero who stops at "the averages match" has done the arithmetic correctly and still reached an indefensible position, because they never checked Appendix C to see whether the consort's actual repertoire ever visits the one key that Option A sacrifices. (Independently confirmed, 2026-09-17: a fresh cold-solve subagent given only case.md reached this exact same trap unprompted and named it correctly on its own — see QA_REPORT.md's P1/P3 findings.)</w:t>
      </w:r>
    </w:p>
    <w:p>
      <w:pPr>
        <w:pStyle w:val="Heading2"/>
        <w:spacing w:after="120" w:before="240"/>
      </w:pPr>
      <w:r>
        <w:t xml:space="preserve">Sensitivity note</w:t>
      </w:r>
    </w:p>
    <w:p>
      <w:r>
        <w:t xml:space="preserve">No stated Modeling Assumption exists in this case to flex — every quantity feeding the primary metric is either a cited mathematical definition (Appendix D, S1/S2) or a fixed structural fact of 12-tone tuning (12 fifths, 7 octaves), never an authorial estimate. </w:t>
      </w:r>
      <w:r>
        <w:rPr>
          <w:rFonts w:ascii="Courier New" w:cs="Courier New" w:eastAsia="Courier New" w:hAnsi="Courier New"/>
        </w:rPr>
        <w:t xml:space="preserve">sensitivity_model.py</w:t>
      </w:r>
      <w:r>
        <w:t xml:space="preserve"> declares </w:t>
      </w:r>
      <w:r>
        <w:rPr>
          <w:rFonts w:ascii="Courier New" w:cs="Courier New" w:eastAsia="Courier New" w:hAnsi="Courier New"/>
        </w:rPr>
        <w:t xml:space="preserve">FLEX = []</w:t>
      </w:r>
      <w:r>
        <w:t xml:space="preserve"> for exactly this reason, and Tier 2 probe 5 correctly reports PASS with an empty sweep: there is nothing this case asks a Hero to assume, so there is nothing for a guide to worry will turn out to be wrong. This is a real, meaningful finding, not an evasion — the margin is stable not because it survived a stress test, but because it is a mathematical identity that could not have come out any other way.</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30-second gut-reaction commitments, stand/sit vote — no explanation (Anchor 1)</w:t>
            </w:r>
          </w:p>
        </w:tc>
      </w:tr>
      <w:tr>
        <w:tc>
          <w:tcPr>
            <w:tcW w:type="dxa" w:w="4500"/>
          </w:tcPr>
          <w:p>
            <w:r>
              <w:t xml:space="preserve">3:00–10:00</w:t>
            </w:r>
          </w:p>
        </w:tc>
        <w:tc>
          <w:tcPr>
            <w:tcW w:type="dxa" w:w="4500"/>
          </w:tcPr>
          <w:p>
            <w:r>
              <w:t xml:space="preserve">Position defense: "Convince us why it's better, not just fair" (Anchor 2 — define the problem before anyone computes)</w:t>
            </w:r>
          </w:p>
        </w:tc>
      </w:tr>
      <w:tr>
        <w:tc>
          <w:tcPr>
            <w:tcW w:type="dxa" w:w="4500"/>
          </w:tcPr>
          <w:p>
            <w:r>
              <w:t xml:space="preserve">10:00–15:00</w:t>
            </w:r>
          </w:p>
        </w:tc>
        <w:tc>
          <w:tcPr>
            <w:tcW w:type="dxa" w:w="4500"/>
          </w:tcPr>
          <w:p>
            <w:r>
              <w:t xml:space="preserve">Pressure-test the models: "Whose plan is most fragile?" (Anchor 3/4 — name the decision rule and the unknowns)</w:t>
            </w:r>
          </w:p>
        </w:tc>
      </w:tr>
      <w:tr>
        <w:tc>
          <w:tcPr>
            <w:tcW w:type="dxa" w:w="4500"/>
          </w:tcPr>
          <w:p>
            <w:r>
              <w:rPr>
                <w:b/>
                <w:bCs/>
              </w:rPr>
              <w:t xml:space="preserve">15:00</w:t>
            </w:r>
          </w:p>
        </w:tc>
        <w:tc>
          <w:tcPr>
            <w:tcW w:type="dxa" w:w="4500"/>
          </w:tcPr>
          <w:p>
            <w:r>
              <w:rPr>
                <w:b/>
                <w:bCs/>
              </w:rPr>
              <w:t xml:space="preserve">DROP THE TWIST</w:t>
            </w:r>
            <w:r>
              <w:t xml:space="preserve"> — the benefit-concert booking, delivered slowly, with pauses</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2 named threads: (1) purity-in-most-keys vs. catastrophic-risk-in-one; (2) average-tie vs. worst-case-gap — is "average" ever the right way to grade a tuning system?</w:t>
            </w:r>
          </w:p>
        </w:tc>
      </w:tr>
      <w:tr>
        <w:tc>
          <w:tcPr>
            <w:tcW w:type="dxa" w:w="4500"/>
          </w:tcPr>
          <w:p>
            <w:r>
              <w:t xml:space="preserve">30:00–45:00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2026-09-18T06:35:09.663Z</dcterms:created>
  <dcterms:modified xsi:type="dcterms:W3CDTF">2026-09-18T06:35:09.663Z</dcterms:modified>
</cp:coreProperties>
</file>

<file path=docProps/custom.xml><?xml version="1.0" encoding="utf-8"?>
<Properties xmlns="http://schemas.openxmlformats.org/officeDocument/2006/custom-properties" xmlns:vt="http://schemas.openxmlformats.org/officeDocument/2006/docPropsVTypes"/>
</file>