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Case Study: Investment Portfolio</w:t>
      </w:r>
    </w:p>
    <w:p>
      <w:pPr>
        <w:jc w:val="center"/>
      </w:pPr>
      <w:r>
        <w:rPr>
          <w:i/>
          <w:sz w:val="22"/>
        </w:rPr>
        <w:t>MS | Math | Case Study | 2026-27 | Acton Academy East Valley</w:t>
      </w:r>
    </w:p>
    <w:p/>
    <w:p>
      <w:pPr>
        <w:pStyle w:val="Heading1"/>
      </w:pPr>
      <w:r>
        <w:t>Overview</w:t>
      </w:r>
    </w:p>
    <w:p>
      <w:r>
        <w:t>The truck's heater is still ticking as it cools, parked on the shoulder of an unfinished road, a raw new row of houses rising out of the mud in front of the windshield. Benjamin sits with both hands on the wheel, just looking at the frames for a minute before the phone in the cupholder buzzes.</w:t>
      </w:r>
    </w:p>
    <w:p>
      <w:r>
        <w:t>An email from his lumber supplier. He reads it twice.</w:t>
      </w:r>
    </w:p>
    <w:p>
      <w:r>
        <w:t>Inflation. One word, and it won't leave him alone.</w:t>
      </w:r>
    </w:p>
    <w:p>
      <w:r>
        <w:t>He and his wife have never been careless with money — that part he's sure of. What he's not sure of is what to do with what's left over at the end of each month, now that "left over" is starting to feel less safe than it used to. Friends have been telling him the same thing for a year: stop just saving it — put it to work.</w:t>
      </w:r>
    </w:p>
    <w:p>
      <w:r>
        <w:t>He sets the phone down, pulls his laptop across the passenger seat, and opens a browser tab.</w:t>
      </w:r>
    </w:p>
    <w:p>
      <w:pPr>
        <w:pStyle w:val="Heading1"/>
      </w:pPr>
      <w:r>
        <w:t>Background</w:t>
      </w:r>
    </w:p>
    <w:p>
      <w:r>
        <w:t>Benjamin Tippets is thirty years old, a carpenter and homebuilder outside Nashville, Tennessee. He and his wife have spent a decade building a genuinely disciplined financial life: no debt, a paid-off house, a full year of emergency cash set aside, life and disability insurance in place, and their IRA and 401(k) contributions maxed out every year. Any additional investing he does now happens outside those tax-sheltered accounts, so the returns are exposed to taxes. He has two young children and wants his investing plan to be something he sets up once and only revisits twice a year — his real focus, and his real passion, stays on building houses.</w:t>
      </w:r>
    </w:p>
    <w:p>
      <w:r>
        <w:t>After months of research and conversations with friends in finance, Benjamin has narrowed his options to two well-known strategies, each built entirely from ordinary exchange-traded funds (ETFs) he could buy today.</w:t>
      </w:r>
    </w:p>
    <w:p>
      <w:r>
        <w:rPr>
          <w:b/>
        </w:rPr>
        <w:t>Warren Buffett's 90/10 Portfolio</w:t>
      </w:r>
      <w:r>
        <w:t xml:space="preserve"> puts 90% of the money in a low-cost S&amp;P 500 index fund and the remaining 10% in short-term government bonds (SEE APPENDIX A).</w:t>
      </w:r>
    </w:p>
    <w:p>
      <w:r>
        <w:rPr>
          <w:b/>
        </w:rPr>
        <w:t>Ray Dalio's All-Weather Portfolio</w:t>
      </w:r>
      <w:r>
        <w:t xml:space="preserve"> spreads the money across five pieces: 40% long-term bonds, 30% stocks, 15% intermediate-term bonds, 7.5% gold, and 7.5% commodities (SEE APPENDIX B).</w:t>
      </w:r>
    </w:p>
    <w:p>
      <w:r>
        <w:t>Every figure in this case that describes how these two portfolios have actually performed — return, volatility, and worst-case loss — is drawn from a real, dated backtest of the exact fund allocations above, not from a general description of "the stock market" (SEE APPENDICES C, D and E). Benjamin openly admits he doesn't know how he'd react, emotionally, to watching a portfolio drop 40% in a single stretch — that uncertainty is part of what he's weighing.</w:t>
      </w:r>
    </w:p>
    <w:p>
      <w:r>
        <w:t>The vocabulary and "how to…" skills this case will ask you to research are listed in APPENDIX F.</w:t>
      </w:r>
    </w:p>
    <w:p>
      <w:r>
        <w:t>Benjamin has no deadline pressuring him tonight, but he wants an answer he can commit to and stop revisiting.</w:t>
      </w:r>
    </w:p>
    <w:p>
      <w:pPr>
        <w:pStyle w:val="Heading1"/>
      </w:pPr>
      <w:r>
        <w:t>Dilemma</w:t>
      </w:r>
    </w:p>
    <w:p>
      <w:r>
        <w:t>You are Benjamin Tippets.</w:t>
      </w:r>
    </w:p>
    <w:p>
      <w:r>
        <w:t>Do you:</w:t>
      </w:r>
    </w:p>
    <w:p>
      <w:r>
        <w:t>A.) Put your excess savings in Warren Buffett's 90/10 Portfolio OR</w:t>
      </w:r>
    </w:p>
    <w:p>
      <w:r>
        <w:t>B.) Put your excess savings in Ray Dalio's All-Weather Portfolio</w:t>
      </w:r>
    </w:p>
    <w:p>
      <w:pPr>
        <w:pStyle w:val="Heading1"/>
      </w:pPr>
      <w:r>
        <w:t>Challenges</w:t>
      </w:r>
    </w:p>
    <w:p>
      <w:r>
        <w:t>1.) Research and find an online resource that answers one of the "how to…" questions from the case study launch. Post a link to the resource as your submission.</w:t>
      </w:r>
    </w:p>
    <w:p>
      <w:r>
        <w:t>2.) Post 250 or more "excellent" words pitching a firm stance to your audience on which you would choose and why. Your pitch must include:</w:t>
      </w:r>
    </w:p>
    <w:p>
      <w:r>
        <w:t>a.) Use of the "how to…" resource you researched in Challenge 1.</w:t>
      </w:r>
    </w:p>
    <w:p>
      <w:r>
        <w:t>b.) At least one original visual display of the data.</w:t>
      </w:r>
    </w:p>
    <w:p>
      <w:r>
        <w:t>3.) Your pitch must include:</w:t>
      </w:r>
    </w:p>
    <w:p>
      <w:pPr>
        <w:pStyle w:val="ListBullet"/>
      </w:pPr>
      <w:r>
        <w:rPr>
          <w:b/>
        </w:rPr>
        <w:t xml:space="preserve">D1 — An allocation breakdown for each portfolio: </w:t>
      </w:r>
      <w:r>
        <w:t>a table and a pie chart showing the exact percent of the portfolio held in each asset class (SEE APPENDICES A AND B), plus the dollar amount each slice represents for a sample $10,000 investment.</w:t>
      </w:r>
    </w:p>
    <w:p>
      <w:pPr>
        <w:pStyle w:val="ListBullet"/>
      </w:pPr>
      <w:r>
        <w:rPr>
          <w:b/>
        </w:rPr>
        <w:t xml:space="preserve">D2 — A return-and-risk comparison table: </w:t>
      </w:r>
      <w:r>
        <w:t>for both portfolios: annualized return, standard deviation, and maximum drawdown (SEE APPENDIX C), each pair of numbers compared directly (which is bigger, which is smaller, by how much). For each portfolio, also compute the mean and the range of its five annualized-return figures from Appendix C's holding-period table (1, 5, 10, 20, and 30 years), showing your arithmetic.</w:t>
      </w:r>
    </w:p>
    <w:p>
      <w:pPr>
        <w:pStyle w:val="ListBullet"/>
      </w:pPr>
      <w:r>
        <w:rPr>
          <w:b/>
        </w:rPr>
        <w:t xml:space="preserve">D3 — A return-vs-holding-period chart: </w:t>
      </w:r>
      <w:r>
        <w:t>plotted on a labeled coordinate plane: for each portfolio, plot its annualized return (y-axis) against holding-period length in years (x-axis), using the four holding periods given in Appendix C. Show both portfolios' points on the same graph.</w:t>
      </w:r>
    </w:p>
    <w:p>
      <w:pPr>
        <w:pStyle w:val="ListBullet"/>
      </w:pPr>
      <w:r>
        <w:rPr>
          <w:b/>
        </w:rPr>
        <w:t xml:space="preserve">D4 — A 30-year portfolio-value projection chart: </w:t>
      </w:r>
      <w:r>
        <w:t>plotted on a labeled coordinate plane: year (x-axis, 0 through 30) against projected portfolio value in dollars (y-axis), for each portfolio, using Appendix D's contribution schedule and Appendix C's historical annualized return for that portfolio as the assumed future rate of return (SEE APPENDIX D, Modeling Assumption MA2).</w:t>
      </w:r>
    </w:p>
    <w:p>
      <w:pPr>
        <w:pStyle w:val="ListBullet"/>
      </w:pPr>
      <w:r>
        <w:rPr>
          <w:b/>
        </w:rPr>
        <w:t xml:space="preserve">D5 — A -35% shock recalculation: </w:t>
      </w:r>
      <w:r>
        <w:t>redo your D4 projection for both portfolios under one change — assume the return in Year 3 is -35% instead of the assumed rate — and report each portfolio's Year-30 ending value under this scenario next to its original D4 value.</w:t>
      </w:r>
    </w:p>
    <w:p>
      <w:pPr>
        <w:pStyle w:val="ListBullet"/>
      </w:pPr>
      <w:r>
        <w:rPr>
          <w:b/>
        </w:rPr>
        <w:t xml:space="preserve">D6 — A worked Sharpe-ratio comparison: </w:t>
      </w:r>
      <w:r>
        <w:t>using Appendix C's 20-year annualized return and standard deviation for each portfolio and Appendix D's risk-free-rate assumption (MA1), compute the 20-year Sharpe ratio for both portfolios by hand, showing your arithmetic, and display the two results in a bar graph.</w:t>
      </w:r>
    </w:p>
    <w:p>
      <w:r>
        <w:t>4.) An appendix showing evidence of your original thinking, work, calculations and processes you used to complete the challenges (pictures, screenshots, notes, etc.). Your work in the appendix does not count toward your word count.</w:t>
      </w:r>
    </w:p>
    <w:p>
      <w:r>
        <w:t>5.) Participate twice or more in the Case Study discussion. If you are absent the day of a discussion post 500 "excellent" words on the questions above.</w:t>
      </w:r>
    </w:p>
    <w:p>
      <w:pPr>
        <w:pStyle w:val="Heading1"/>
      </w:pPr>
      <w:r>
        <w:t>Appendix A: Warren Buffett's 90/10 Portfolio</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Asset class</w:t>
            </w:r>
          </w:p>
        </w:tc>
        <w:tc>
          <w:tcPr>
            <w:tcW w:type="dxa" w:w="4320"/>
            <w:shd w:val="clear" w:color="auto" w:fill="D9E2F3"/>
          </w:tcPr>
          <w:p>
            <w:r/>
            <w:r>
              <w:rPr>
                <w:b/>
              </w:rPr>
              <w:t>Allocation</w:t>
            </w:r>
          </w:p>
        </w:tc>
      </w:tr>
      <w:tr>
        <w:tc>
          <w:tcPr>
            <w:tcW w:type="dxa" w:w="4320"/>
          </w:tcPr>
          <w:p>
            <w:r>
              <w:t>S&amp;P 500 index fund</w:t>
            </w:r>
          </w:p>
        </w:tc>
        <w:tc>
          <w:tcPr>
            <w:tcW w:type="dxa" w:w="4320"/>
          </w:tcPr>
          <w:p>
            <w:r>
              <w:t>90%</w:t>
            </w:r>
          </w:p>
        </w:tc>
      </w:tr>
      <w:tr>
        <w:tc>
          <w:tcPr>
            <w:tcW w:type="dxa" w:w="4320"/>
          </w:tcPr>
          <w:p>
            <w:r>
              <w:t>Short-term government bonds (or cash)</w:t>
            </w:r>
          </w:p>
        </w:tc>
        <w:tc>
          <w:tcPr>
            <w:tcW w:type="dxa" w:w="4320"/>
          </w:tcPr>
          <w:p>
            <w:r>
              <w:t>10%</w:t>
            </w:r>
          </w:p>
        </w:tc>
      </w:tr>
    </w:tbl>
    <w:p/>
    <w:p>
      <w:r>
        <w:t>This allocation is a real, publicly documented one, attributed to Warren Buffett [S1]. Reference tracking portfolio: 90% Vanguard Large-Cap Index (VV), 10% iShares 1-3 Year Treasury Bond (SHY) [S2].</w:t>
      </w:r>
    </w:p>
    <w:p>
      <w:pPr>
        <w:pStyle w:val="Heading1"/>
      </w:pPr>
      <w:r>
        <w:t>Appendix B: Ray Dalio's All-Weather Portfolio</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Asset class</w:t>
            </w:r>
          </w:p>
        </w:tc>
        <w:tc>
          <w:tcPr>
            <w:tcW w:type="dxa" w:w="4320"/>
            <w:shd w:val="clear" w:color="auto" w:fill="D9E2F3"/>
          </w:tcPr>
          <w:p>
            <w:r/>
            <w:r>
              <w:rPr>
                <w:b/>
              </w:rPr>
              <w:t>Allocation</w:t>
            </w:r>
          </w:p>
        </w:tc>
      </w:tr>
      <w:tr>
        <w:tc>
          <w:tcPr>
            <w:tcW w:type="dxa" w:w="4320"/>
          </w:tcPr>
          <w:p>
            <w:r>
              <w:t>Long-term bonds</w:t>
            </w:r>
          </w:p>
        </w:tc>
        <w:tc>
          <w:tcPr>
            <w:tcW w:type="dxa" w:w="4320"/>
          </w:tcPr>
          <w:p>
            <w:r>
              <w:t>40%</w:t>
            </w:r>
          </w:p>
        </w:tc>
      </w:tr>
      <w:tr>
        <w:tc>
          <w:tcPr>
            <w:tcW w:type="dxa" w:w="4320"/>
          </w:tcPr>
          <w:p>
            <w:r>
              <w:t>Stocks</w:t>
            </w:r>
          </w:p>
        </w:tc>
        <w:tc>
          <w:tcPr>
            <w:tcW w:type="dxa" w:w="4320"/>
          </w:tcPr>
          <w:p>
            <w:r>
              <w:t>30%</w:t>
            </w:r>
          </w:p>
        </w:tc>
      </w:tr>
      <w:tr>
        <w:tc>
          <w:tcPr>
            <w:tcW w:type="dxa" w:w="4320"/>
          </w:tcPr>
          <w:p>
            <w:r>
              <w:t>Intermediate-term bonds</w:t>
            </w:r>
          </w:p>
        </w:tc>
        <w:tc>
          <w:tcPr>
            <w:tcW w:type="dxa" w:w="4320"/>
          </w:tcPr>
          <w:p>
            <w:r>
              <w:t>15%</w:t>
            </w:r>
          </w:p>
        </w:tc>
      </w:tr>
      <w:tr>
        <w:tc>
          <w:tcPr>
            <w:tcW w:type="dxa" w:w="4320"/>
          </w:tcPr>
          <w:p>
            <w:r>
              <w:t>Gold</w:t>
            </w:r>
          </w:p>
        </w:tc>
        <w:tc>
          <w:tcPr>
            <w:tcW w:type="dxa" w:w="4320"/>
          </w:tcPr>
          <w:p>
            <w:r>
              <w:t>7.5%</w:t>
            </w:r>
          </w:p>
        </w:tc>
      </w:tr>
      <w:tr>
        <w:tc>
          <w:tcPr>
            <w:tcW w:type="dxa" w:w="4320"/>
          </w:tcPr>
          <w:p>
            <w:r>
              <w:t>Commodities</w:t>
            </w:r>
          </w:p>
        </w:tc>
        <w:tc>
          <w:tcPr>
            <w:tcW w:type="dxa" w:w="4320"/>
          </w:tcPr>
          <w:p>
            <w:r>
              <w:t>7.5%</w:t>
            </w:r>
          </w:p>
        </w:tc>
      </w:tr>
    </w:tbl>
    <w:p/>
    <w:p>
      <w:r>
        <w:t>As described in Tony Robbins' Money: Master the Game [S3]. Reference tracking portfolio: Vanguard Total Stock Market (VTI) 30%, iShares 20+ Year Treasury (TLT) 40%, iShares 7-10 Year Treasury (IEF) 15%, SPDR Gold Shares (GLD) 7.5%, Invesco DB Commodity Index (DBC) 7.5% [S2].</w:t>
      </w:r>
    </w:p>
    <w:p>
      <w:pPr>
        <w:pStyle w:val="Heading1"/>
      </w:pPr>
      <w:r>
        <w:t>Appendix C: Historical Performance — Backtested, Both Portfolios</w:t>
      </w:r>
    </w:p>
    <w:p>
      <w:r>
        <w:t>Both tables below are backtested results for the exact reference tracking portfolios in Appendices A and B — real ETFs, historical prices, annual rebalancing, dividends reinvested — not a general description of "stocks" or "bonds." Data as of July 31, 2026 [S2].</w:t>
      </w:r>
    </w:p>
    <w:p>
      <w:pPr>
        <w:pStyle w:val="Heading2"/>
      </w:pPr>
      <w:r>
        <w:t>Annualized return, by holding period ending July 2026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Holding period</w:t>
            </w:r>
          </w:p>
        </w:tc>
        <w:tc>
          <w:tcPr>
            <w:tcW w:type="dxa" w:w="2880"/>
            <w:shd w:val="clear" w:color="auto" w:fill="D9E2F3"/>
          </w:tcPr>
          <w:p>
            <w:r/>
            <w:r>
              <w:rPr>
                <w:b/>
              </w:rPr>
              <w:t>Buffett 90/10</w:t>
            </w:r>
          </w:p>
        </w:tc>
        <w:tc>
          <w:tcPr>
            <w:tcW w:type="dxa" w:w="2880"/>
            <w:shd w:val="clear" w:color="auto" w:fill="D9E2F3"/>
          </w:tcPr>
          <w:p>
            <w:r/>
            <w:r>
              <w:rPr>
                <w:b/>
              </w:rPr>
              <w:t>All-Weather</w:t>
            </w:r>
          </w:p>
        </w:tc>
      </w:tr>
      <w:tr>
        <w:tc>
          <w:tcPr>
            <w:tcW w:type="dxa" w:w="2880"/>
          </w:tcPr>
          <w:p>
            <w:r>
              <w:t>1 year</w:t>
            </w:r>
          </w:p>
        </w:tc>
        <w:tc>
          <w:tcPr>
            <w:tcW w:type="dxa" w:w="2880"/>
          </w:tcPr>
          <w:p>
            <w:r>
              <w:t>17.36%</w:t>
            </w:r>
          </w:p>
        </w:tc>
        <w:tc>
          <w:tcPr>
            <w:tcW w:type="dxa" w:w="2880"/>
          </w:tcPr>
          <w:p>
            <w:r>
              <w:t>10.71%</w:t>
            </w:r>
          </w:p>
        </w:tc>
      </w:tr>
      <w:tr>
        <w:tc>
          <w:tcPr>
            <w:tcW w:type="dxa" w:w="2880"/>
          </w:tcPr>
          <w:p>
            <w:r>
              <w:t>5 years</w:t>
            </w:r>
          </w:p>
        </w:tc>
        <w:tc>
          <w:tcPr>
            <w:tcW w:type="dxa" w:w="2880"/>
          </w:tcPr>
          <w:p>
            <w:r>
              <w:t>11.41%</w:t>
            </w:r>
          </w:p>
        </w:tc>
        <w:tc>
          <w:tcPr>
            <w:tcW w:type="dxa" w:w="2880"/>
          </w:tcPr>
          <w:p>
            <w:r>
              <w:t>2.84%</w:t>
            </w:r>
          </w:p>
        </w:tc>
      </w:tr>
      <w:tr>
        <w:tc>
          <w:tcPr>
            <w:tcW w:type="dxa" w:w="2880"/>
          </w:tcPr>
          <w:p>
            <w:r>
              <w:t>10 years</w:t>
            </w:r>
          </w:p>
        </w:tc>
        <w:tc>
          <w:tcPr>
            <w:tcW w:type="dxa" w:w="2880"/>
          </w:tcPr>
          <w:p>
            <w:r>
              <w:t>13.79%</w:t>
            </w:r>
          </w:p>
        </w:tc>
        <w:tc>
          <w:tcPr>
            <w:tcW w:type="dxa" w:w="2880"/>
          </w:tcPr>
          <w:p>
            <w:r>
              <w:t>5.37%</w:t>
            </w:r>
          </w:p>
        </w:tc>
      </w:tr>
      <w:tr>
        <w:tc>
          <w:tcPr>
            <w:tcW w:type="dxa" w:w="2880"/>
          </w:tcPr>
          <w:p>
            <w:r>
              <w:t>20 years</w:t>
            </w:r>
          </w:p>
        </w:tc>
        <w:tc>
          <w:tcPr>
            <w:tcW w:type="dxa" w:w="2880"/>
          </w:tcPr>
          <w:p>
            <w:r>
              <w:t>10.63%</w:t>
            </w:r>
          </w:p>
        </w:tc>
        <w:tc>
          <w:tcPr>
            <w:tcW w:type="dxa" w:w="2880"/>
          </w:tcPr>
          <w:p>
            <w:r>
              <w:t>6.74%</w:t>
            </w:r>
          </w:p>
        </w:tc>
      </w:tr>
      <w:tr>
        <w:tc>
          <w:tcPr>
            <w:tcW w:type="dxa" w:w="2880"/>
          </w:tcPr>
          <w:p>
            <w:r>
              <w:t>30 years</w:t>
            </w:r>
          </w:p>
        </w:tc>
        <w:tc>
          <w:tcPr>
            <w:tcW w:type="dxa" w:w="2880"/>
          </w:tcPr>
          <w:p>
            <w:r>
              <w:t>9.98%</w:t>
            </w:r>
          </w:p>
        </w:tc>
        <w:tc>
          <w:tcPr>
            <w:tcW w:type="dxa" w:w="2880"/>
          </w:tcPr>
          <w:p>
            <w:r>
              <w:t>7.40%</w:t>
            </w:r>
          </w:p>
        </w:tc>
      </w:tr>
    </w:tbl>
    <w:p/>
    <w:p>
      <w:pPr>
        <w:pStyle w:val="Heading2"/>
      </w:pPr>
      <w:r>
        <w:t>Standard deviation of annual return, by holding period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Holding period</w:t>
            </w:r>
          </w:p>
        </w:tc>
        <w:tc>
          <w:tcPr>
            <w:tcW w:type="dxa" w:w="2880"/>
            <w:shd w:val="clear" w:color="auto" w:fill="D9E2F3"/>
          </w:tcPr>
          <w:p>
            <w:r/>
            <w:r>
              <w:rPr>
                <w:b/>
              </w:rPr>
              <w:t>Buffett 90/10</w:t>
            </w:r>
          </w:p>
        </w:tc>
        <w:tc>
          <w:tcPr>
            <w:tcW w:type="dxa" w:w="2880"/>
            <w:shd w:val="clear" w:color="auto" w:fill="D9E2F3"/>
          </w:tcPr>
          <w:p>
            <w:r/>
            <w:r>
              <w:rPr>
                <w:b/>
              </w:rPr>
              <w:t>All-Weather</w:t>
            </w:r>
          </w:p>
        </w:tc>
      </w:tr>
      <w:tr>
        <w:tc>
          <w:tcPr>
            <w:tcW w:type="dxa" w:w="2880"/>
          </w:tcPr>
          <w:p>
            <w:r>
              <w:t>1 year</w:t>
            </w:r>
          </w:p>
        </w:tc>
        <w:tc>
          <w:tcPr>
            <w:tcW w:type="dxa" w:w="2880"/>
          </w:tcPr>
          <w:p>
            <w:r>
              <w:t>11.49%</w:t>
            </w:r>
          </w:p>
        </w:tc>
        <w:tc>
          <w:tcPr>
            <w:tcW w:type="dxa" w:w="2880"/>
          </w:tcPr>
          <w:p>
            <w:r>
              <w:t>6.81%</w:t>
            </w:r>
          </w:p>
        </w:tc>
      </w:tr>
      <w:tr>
        <w:tc>
          <w:tcPr>
            <w:tcW w:type="dxa" w:w="2880"/>
          </w:tcPr>
          <w:p>
            <w:r>
              <w:t>5 years</w:t>
            </w:r>
          </w:p>
        </w:tc>
        <w:tc>
          <w:tcPr>
            <w:tcW w:type="dxa" w:w="2880"/>
          </w:tcPr>
          <w:p>
            <w:r>
              <w:t>14.40%</w:t>
            </w:r>
          </w:p>
        </w:tc>
        <w:tc>
          <w:tcPr>
            <w:tcW w:type="dxa" w:w="2880"/>
          </w:tcPr>
          <w:p>
            <w:r>
              <w:t>10.19%</w:t>
            </w:r>
          </w:p>
        </w:tc>
      </w:tr>
      <w:tr>
        <w:tc>
          <w:tcPr>
            <w:tcW w:type="dxa" w:w="2880"/>
          </w:tcPr>
          <w:p>
            <w:r>
              <w:t>10 years</w:t>
            </w:r>
          </w:p>
        </w:tc>
        <w:tc>
          <w:tcPr>
            <w:tcW w:type="dxa" w:w="2880"/>
          </w:tcPr>
          <w:p>
            <w:r>
              <w:t>13.90%</w:t>
            </w:r>
          </w:p>
        </w:tc>
        <w:tc>
          <w:tcPr>
            <w:tcW w:type="dxa" w:w="2880"/>
          </w:tcPr>
          <w:p>
            <w:r>
              <w:t>8.52%</w:t>
            </w:r>
          </w:p>
        </w:tc>
      </w:tr>
      <w:tr>
        <w:tc>
          <w:tcPr>
            <w:tcW w:type="dxa" w:w="2880"/>
          </w:tcPr>
          <w:p>
            <w:r>
              <w:t>20 years</w:t>
            </w:r>
          </w:p>
        </w:tc>
        <w:tc>
          <w:tcPr>
            <w:tcW w:type="dxa" w:w="2880"/>
          </w:tcPr>
          <w:p>
            <w:r>
              <w:t>13.81%</w:t>
            </w:r>
          </w:p>
        </w:tc>
        <w:tc>
          <w:tcPr>
            <w:tcW w:type="dxa" w:w="2880"/>
          </w:tcPr>
          <w:p>
            <w:r>
              <w:t>7.94%</w:t>
            </w:r>
          </w:p>
        </w:tc>
      </w:tr>
      <w:tr>
        <w:tc>
          <w:tcPr>
            <w:tcW w:type="dxa" w:w="2880"/>
          </w:tcPr>
          <w:p>
            <w:r>
              <w:t>30 years</w:t>
            </w:r>
          </w:p>
        </w:tc>
        <w:tc>
          <w:tcPr>
            <w:tcW w:type="dxa" w:w="2880"/>
          </w:tcPr>
          <w:p>
            <w:r>
              <w:t>13.83%</w:t>
            </w:r>
          </w:p>
        </w:tc>
        <w:tc>
          <w:tcPr>
            <w:tcW w:type="dxa" w:w="2880"/>
          </w:tcPr>
          <w:p>
            <w:r>
              <w:t>7.50%</w:t>
            </w:r>
          </w:p>
        </w:tc>
      </w:tr>
    </w:tbl>
    <w:p/>
    <w:p>
      <w:pPr>
        <w:pStyle w:val="Heading2"/>
      </w:pPr>
      <w:r>
        <w:t>Maximum drawdown (largest peak-to-trough decline), 30-year window</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r>
          </w:p>
        </w:tc>
        <w:tc>
          <w:tcPr>
            <w:tcW w:type="dxa" w:w="2880"/>
            <w:shd w:val="clear" w:color="auto" w:fill="D9E2F3"/>
          </w:tcPr>
          <w:p>
            <w:r/>
            <w:r>
              <w:rPr>
                <w:b/>
              </w:rPr>
              <w:t>Buffett 90/10</w:t>
            </w:r>
          </w:p>
        </w:tc>
        <w:tc>
          <w:tcPr>
            <w:tcW w:type="dxa" w:w="2880"/>
            <w:shd w:val="clear" w:color="auto" w:fill="D9E2F3"/>
          </w:tcPr>
          <w:p>
            <w:r/>
            <w:r>
              <w:rPr>
                <w:b/>
              </w:rPr>
              <w:t>All-Weather</w:t>
            </w:r>
          </w:p>
        </w:tc>
      </w:tr>
      <w:tr>
        <w:tc>
          <w:tcPr>
            <w:tcW w:type="dxa" w:w="2880"/>
          </w:tcPr>
          <w:p>
            <w:r>
              <w:t>Maximum drawdown</w:t>
            </w:r>
          </w:p>
        </w:tc>
        <w:tc>
          <w:tcPr>
            <w:tcW w:type="dxa" w:w="2880"/>
          </w:tcPr>
          <w:p>
            <w:r>
              <w:t>-45.52%</w:t>
            </w:r>
          </w:p>
        </w:tc>
        <w:tc>
          <w:tcPr>
            <w:tcW w:type="dxa" w:w="2880"/>
          </w:tcPr>
          <w:p>
            <w:r>
              <w:t>-20.58%</w:t>
            </w:r>
          </w:p>
        </w:tc>
      </w:tr>
    </w:tbl>
    <w:p/>
    <w:p>
      <w:pPr>
        <w:pStyle w:val="Heading1"/>
      </w:pPr>
      <w:r>
        <w:t>Appendix D: Modeling Assumptions</w:t>
      </w:r>
    </w:p>
    <w:p>
      <w:r>
        <w:rPr>
          <w:i/>
        </w:rPr>
        <w:t>These figures are not sourced — they are stated scenario assumptions chosen for this case, needed to run a projection Appendix C's real historical data alone cannot answer (nobody can cite a fact about the next 30 years). A Hero may challenge them in discussion — that is a legitimate move.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rPr>
              <w:t>#</w:t>
            </w:r>
          </w:p>
        </w:tc>
        <w:tc>
          <w:tcPr>
            <w:tcW w:type="dxa" w:w="1728"/>
            <w:shd w:val="clear" w:color="auto" w:fill="D9E2F3"/>
          </w:tcPr>
          <w:p>
            <w:r/>
            <w:r>
              <w:rPr>
                <w:b/>
              </w:rPr>
              <w:t>Assumption</w:t>
            </w:r>
          </w:p>
        </w:tc>
        <w:tc>
          <w:tcPr>
            <w:tcW w:type="dxa" w:w="1728"/>
            <w:shd w:val="clear" w:color="auto" w:fill="D9E2F3"/>
          </w:tcPr>
          <w:p>
            <w:r/>
            <w:r>
              <w:rPr>
                <w:b/>
              </w:rPr>
              <w:t>Value used</w:t>
            </w:r>
          </w:p>
        </w:tc>
        <w:tc>
          <w:tcPr>
            <w:tcW w:type="dxa" w:w="1728"/>
            <w:shd w:val="clear" w:color="auto" w:fill="D9E2F3"/>
          </w:tcPr>
          <w:p>
            <w:r/>
            <w:r>
              <w:rPr>
                <w:b/>
              </w:rPr>
              <w:t>Basis</w:t>
            </w:r>
          </w:p>
        </w:tc>
        <w:tc>
          <w:tcPr>
            <w:tcW w:type="dxa" w:w="1728"/>
            <w:shd w:val="clear" w:color="auto" w:fill="D9E2F3"/>
          </w:tcPr>
          <w:p>
            <w:r/>
            <w:r>
              <w:rPr>
                <w:b/>
              </w:rPr>
              <w:t>Sensitivity</w:t>
            </w:r>
          </w:p>
        </w:tc>
      </w:tr>
      <w:tr>
        <w:tc>
          <w:tcPr>
            <w:tcW w:type="dxa" w:w="1728"/>
          </w:tcPr>
          <w:p>
            <w:r>
              <w:t>MA1</w:t>
            </w:r>
          </w:p>
        </w:tc>
        <w:tc>
          <w:tcPr>
            <w:tcW w:type="dxa" w:w="1728"/>
          </w:tcPr>
          <w:p>
            <w:r>
              <w:t>Risk-free rate, used only for the Sharpe-ratio calculation in D6</w:t>
            </w:r>
          </w:p>
        </w:tc>
        <w:tc>
          <w:tcPr>
            <w:tcW w:type="dxa" w:w="1728"/>
          </w:tcPr>
          <w:p>
            <w:r>
              <w:t>1.5% per year</w:t>
            </w:r>
          </w:p>
        </w:tc>
        <w:tc>
          <w:tcPr>
            <w:tcW w:type="dxa" w:w="1728"/>
          </w:tcPr>
          <w:p>
            <w:r>
              <w:t>A round approximation of average short-term U.S. Treasury / cash yields over the same trailing 20-year window Appendix C's 20-year figures cover — the standard "safe baseline" a Sharpe ratio subtracts before dividing by risk.</w:t>
            </w:r>
          </w:p>
        </w:tc>
        <w:tc>
          <w:tcPr>
            <w:tcW w:type="dxa" w:w="1728"/>
          </w:tcPr>
          <w:p>
            <w:r>
              <w:t>The Sharpe-ratio comparison in D6 is sensitive to this value — a different risk-free-rate assumption changes both portfolios' computed ratios, though not necessarily by the same amount.</w:t>
            </w:r>
          </w:p>
        </w:tc>
      </w:tr>
      <w:tr>
        <w:tc>
          <w:tcPr>
            <w:tcW w:type="dxa" w:w="1728"/>
          </w:tcPr>
          <w:p>
            <w:r>
              <w:t>MA2</w:t>
            </w:r>
          </w:p>
        </w:tc>
        <w:tc>
          <w:tcPr>
            <w:tcW w:type="dxa" w:w="1728"/>
          </w:tcPr>
          <w:p>
            <w:r>
              <w:t>Forward-looking expected return, used only for the D4/D5 projections</w:t>
            </w:r>
          </w:p>
        </w:tc>
        <w:tc>
          <w:tcPr>
            <w:tcW w:type="dxa" w:w="1728"/>
          </w:tcPr>
          <w:p>
            <w:r>
              <w:t>Each portfolio's own 30-year historical annualized return from Appendix C (9.98% for Buffett 90/10, 7.40% for All-Weather), applied forward as a constant assumed annual return for all 30 projection years (except the Year-3 override in D5)</w:t>
            </w:r>
          </w:p>
        </w:tc>
        <w:tc>
          <w:tcPr>
            <w:tcW w:type="dxa" w:w="1728"/>
          </w:tcPr>
          <w:p>
            <w:r>
              <w:t>Trailing long-run historical performance is one common, transparent starting point for a forward-looking return assumption when no one can know the actual future return in advance. This case states plainly that it is only an assumption: real returns vary year to year (see Appendix C's standard-deviation rows) and past performance is not a guarantee of future results.</w:t>
            </w:r>
          </w:p>
        </w:tc>
        <w:tc>
          <w:tcPr>
            <w:tcW w:type="dxa" w:w="1728"/>
          </w:tcPr>
          <w:p>
            <w:r>
              <w:t>The 30-year projection in D4 and D5 is sensitive to this value — a different assumed forward return changes the projected dollar totals for both portfolios.</w:t>
            </w:r>
          </w:p>
        </w:tc>
      </w:tr>
      <w:tr>
        <w:tc>
          <w:tcPr>
            <w:tcW w:type="dxa" w:w="1728"/>
          </w:tcPr>
          <w:p>
            <w:r>
              <w:t>MA3</w:t>
            </w:r>
          </w:p>
        </w:tc>
        <w:tc>
          <w:tcPr>
            <w:tcW w:type="dxa" w:w="1728"/>
          </w:tcPr>
          <w:p>
            <w:r>
              <w:t>Contribution schedule for the D4/D5 projections</w:t>
            </w:r>
          </w:p>
        </w:tc>
        <w:tc>
          <w:tcPr>
            <w:tcW w:type="dxa" w:w="1728"/>
          </w:tcPr>
          <w:p>
            <w:r>
              <w:t>Benjamin contributes 40% of his $100,000 annual income each year, and that income (and therefore the dollar contribution) grows by 2.6% per year — the average annual U.S. inflation rate from 2000-2026 [S4] — starting from Year 1</w:t>
            </w:r>
          </w:p>
        </w:tc>
        <w:tc>
          <w:tcPr>
            <w:tcW w:type="dxa" w:w="1728"/>
          </w:tcPr>
          <w:p>
            <w:r>
              <w:t>Stated directly in Benjamin's own plan: "contribute 40% of income consistently," with income assumed to keep pace with inflation rather than staying fixed in nominal dollars for 30 years.</w:t>
            </w:r>
          </w:p>
        </w:tc>
        <w:tc>
          <w:tcPr>
            <w:tcW w:type="dxa" w:w="1728"/>
          </w:tcPr>
          <w:p>
            <w:r>
              <w:t>Not sensitive to a modeling choice made by the case author — this is Benjamin's own stated plan, restated here as a fixed input so every Hero projects from the same numbers.</w:t>
            </w:r>
          </w:p>
        </w:tc>
      </w:tr>
      <w:tr>
        <w:tc>
          <w:tcPr>
            <w:tcW w:type="dxa" w:w="1728"/>
          </w:tcPr>
          <w:p>
            <w:r>
              <w:t>MA4</w:t>
            </w:r>
          </w:p>
        </w:tc>
        <w:tc>
          <w:tcPr>
            <w:tcW w:type="dxa" w:w="1728"/>
          </w:tcPr>
          <w:p>
            <w:r>
              <w:t>Rounding</w:t>
            </w:r>
          </w:p>
        </w:tc>
        <w:tc>
          <w:tcPr>
            <w:tcW w:type="dxa" w:w="1728"/>
          </w:tcPr>
          <w:p>
            <w:r>
              <w:t>Dollar totals round to the nearest whole dollar; percentages and ratios round to two decimal places</w:t>
            </w:r>
          </w:p>
        </w:tc>
        <w:tc>
          <w:tcPr>
            <w:tcW w:type="dxa" w:w="1728"/>
          </w:tcPr>
          <w:p>
            <w:r>
              <w:t>Keeps every table in this case readable and consistent Hero-to-Hero.</w:t>
            </w:r>
          </w:p>
        </w:tc>
        <w:tc>
          <w:tcPr>
            <w:tcW w:type="dxa" w:w="1728"/>
          </w:tcPr>
          <w:p>
            <w:r>
              <w:t>Not sensitive at this level of precision.</w:t>
            </w:r>
          </w:p>
        </w:tc>
      </w:tr>
    </w:tbl>
    <w:p/>
    <w:p>
      <w:pPr>
        <w:pStyle w:val="Heading1"/>
      </w:pPr>
      <w:r>
        <w:t>Appendix E: Sources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w:t>
            </w:r>
          </w:p>
        </w:tc>
        <w:tc>
          <w:tcPr>
            <w:tcW w:type="dxa" w:w="1440"/>
            <w:shd w:val="clear" w:color="auto" w:fill="D9E2F3"/>
          </w:tcPr>
          <w:p>
            <w:r/>
            <w:r>
              <w:rPr>
                <w:b/>
              </w:rPr>
              <w:t>Claim</w:t>
            </w:r>
          </w:p>
        </w:tc>
        <w:tc>
          <w:tcPr>
            <w:tcW w:type="dxa" w:w="1440"/>
            <w:shd w:val="clear" w:color="auto" w:fill="D9E2F3"/>
          </w:tcPr>
          <w:p>
            <w:r/>
            <w:r>
              <w:rPr>
                <w:b/>
              </w:rPr>
              <w:t>Value</w:t>
            </w:r>
          </w:p>
        </w:tc>
        <w:tc>
          <w:tcPr>
            <w:tcW w:type="dxa" w:w="1440"/>
            <w:shd w:val="clear" w:color="auto" w:fill="D9E2F3"/>
          </w:tcPr>
          <w:p>
            <w:r/>
            <w:r>
              <w:rPr>
                <w:b/>
              </w:rPr>
              <w:t>Source</w:t>
            </w:r>
          </w:p>
        </w:tc>
        <w:tc>
          <w:tcPr>
            <w:tcW w:type="dxa" w:w="1440"/>
            <w:shd w:val="clear" w:color="auto" w:fill="D9E2F3"/>
          </w:tcPr>
          <w:p>
            <w:r/>
            <w:r>
              <w:rPr>
                <w:b/>
              </w:rPr>
              <w:t>Date</w:t>
            </w:r>
          </w:p>
        </w:tc>
        <w:tc>
          <w:tcPr>
            <w:tcW w:type="dxa" w:w="1440"/>
            <w:shd w:val="clear" w:color="auto" w:fill="D9E2F3"/>
          </w:tcPr>
          <w:p>
            <w:r/>
            <w:r>
              <w:rPr>
                <w:b/>
              </w:rPr>
              <w:t>Confidence</w:t>
            </w:r>
          </w:p>
        </w:tc>
      </w:tr>
      <w:tr>
        <w:tc>
          <w:tcPr>
            <w:tcW w:type="dxa" w:w="1440"/>
          </w:tcPr>
          <w:p>
            <w:r>
              <w:t>S1</w:t>
            </w:r>
          </w:p>
        </w:tc>
        <w:tc>
          <w:tcPr>
            <w:tcW w:type="dxa" w:w="1440"/>
          </w:tcPr>
          <w:p>
            <w:r>
              <w:t>Warren Buffett's publicly documented 90% S&amp;P 500 index fund / 10% short-term government bonds allocation</w:t>
            </w:r>
          </w:p>
        </w:tc>
        <w:tc>
          <w:tcPr>
            <w:tcW w:type="dxa" w:w="1440"/>
          </w:tcPr>
          <w:p>
            <w:r>
              <w:t>90% S&amp;P 500 index fund / 10% short-term government bonds</w:t>
            </w:r>
          </w:p>
        </w:tc>
        <w:tc>
          <w:tcPr>
            <w:tcW w:type="dxa" w:w="1440"/>
          </w:tcPr>
          <w:p>
            <w:r>
              <w:t>Yahoo Finance — coverage of Buffett's 90/10 allocation (finance.yahoo.com/news/warren-buffett-said-90-wifes-102500696.html)</w:t>
            </w:r>
          </w:p>
        </w:tc>
        <w:tc>
          <w:tcPr>
            <w:tcW w:type="dxa" w:w="1440"/>
          </w:tcPr>
          <w:p>
            <w:r>
              <w:t>Article accessed 2026-08-22</w:t>
            </w:r>
          </w:p>
        </w:tc>
        <w:tc>
          <w:tcPr>
            <w:tcW w:type="dxa" w:w="1440"/>
          </w:tcPr>
          <w:p>
            <w:r>
              <w:t>MEDIUM</w:t>
            </w:r>
          </w:p>
        </w:tc>
      </w:tr>
      <w:tr>
        <w:tc>
          <w:tcPr>
            <w:tcW w:type="dxa" w:w="1440"/>
          </w:tcPr>
          <w:p>
            <w:r>
              <w:t>S2</w:t>
            </w:r>
          </w:p>
        </w:tc>
        <w:tc>
          <w:tcPr>
            <w:tcW w:type="dxa" w:w="1440"/>
          </w:tcPr>
          <w:p>
            <w:r>
              <w:t>Backtested annualized return, standard deviation, and maximum drawdown for both reference tracking portfolios, all holding periods shown in Appendix C</w:t>
            </w:r>
          </w:p>
        </w:tc>
        <w:tc>
          <w:tcPr>
            <w:tcW w:type="dxa" w:w="1440"/>
          </w:tcPr>
          <w:p>
            <w:r>
              <w:t>See Appendix C tables</w:t>
            </w:r>
          </w:p>
        </w:tc>
        <w:tc>
          <w:tcPr>
            <w:tcW w:type="dxa" w:w="1440"/>
          </w:tcPr>
          <w:p>
            <w:r>
              <w:t>LazyPortfolioETF.com — "Warren Buffett Portfolio" (lazyportfolioetf.com/allocation/warren-buffett/) and "Ray Dalio All Weather Portfolio" (lazyportfolioetf.com/allocation/ray-dalio-all-weather/)</w:t>
            </w:r>
          </w:p>
        </w:tc>
        <w:tc>
          <w:tcPr>
            <w:tcW w:type="dxa" w:w="1440"/>
          </w:tcPr>
          <w:p>
            <w:r>
              <w:t>Data as of 2026-07-31; accessed 2026-08-22</w:t>
            </w:r>
          </w:p>
        </w:tc>
        <w:tc>
          <w:tcPr>
            <w:tcW w:type="dxa" w:w="1440"/>
          </w:tcPr>
          <w:p>
            <w:r>
              <w:t>MEDIUM</w:t>
            </w:r>
          </w:p>
        </w:tc>
      </w:tr>
      <w:tr>
        <w:tc>
          <w:tcPr>
            <w:tcW w:type="dxa" w:w="1440"/>
          </w:tcPr>
          <w:p>
            <w:r>
              <w:t>S3</w:t>
            </w:r>
          </w:p>
        </w:tc>
        <w:tc>
          <w:tcPr>
            <w:tcW w:type="dxa" w:w="1440"/>
          </w:tcPr>
          <w:p>
            <w:r>
              <w:t>Description of Ray Dalio's All-Weather allocation (40/30/15/7.5/7.5)</w:t>
            </w:r>
          </w:p>
        </w:tc>
        <w:tc>
          <w:tcPr>
            <w:tcW w:type="dxa" w:w="1440"/>
          </w:tcPr>
          <w:p>
            <w:r>
              <w:t>See Appendix B</w:t>
            </w:r>
          </w:p>
        </w:tc>
        <w:tc>
          <w:tcPr>
            <w:tcW w:type="dxa" w:w="1440"/>
          </w:tcPr>
          <w:p>
            <w:r>
              <w:t>Tony Robbins, Money: Master the Game (2014), as widely cited in financial press describing Dalio's All-Weather strategy</w:t>
            </w:r>
          </w:p>
        </w:tc>
        <w:tc>
          <w:tcPr>
            <w:tcW w:type="dxa" w:w="1440"/>
          </w:tcPr>
          <w:p>
            <w:r>
              <w:t>Book published 2014; allocation description accessed via secondary financial sources 2026-08-22</w:t>
            </w:r>
          </w:p>
        </w:tc>
        <w:tc>
          <w:tcPr>
            <w:tcW w:type="dxa" w:w="1440"/>
          </w:tcPr>
          <w:p>
            <w:r>
              <w:t>MEDIUM</w:t>
            </w:r>
          </w:p>
        </w:tc>
      </w:tr>
      <w:tr>
        <w:tc>
          <w:tcPr>
            <w:tcW w:type="dxa" w:w="1440"/>
          </w:tcPr>
          <w:p>
            <w:r>
              <w:t>S4</w:t>
            </w:r>
          </w:p>
        </w:tc>
        <w:tc>
          <w:tcPr>
            <w:tcW w:type="dxa" w:w="1440"/>
          </w:tcPr>
          <w:p>
            <w:r>
              <w:t>Average annual U.S. inflation rate, 2000-2026</w:t>
            </w:r>
          </w:p>
        </w:tc>
        <w:tc>
          <w:tcPr>
            <w:tcW w:type="dxa" w:w="1440"/>
          </w:tcPr>
          <w:p>
            <w:r>
              <w:t>≈2.6% per year</w:t>
            </w:r>
          </w:p>
        </w:tc>
        <w:tc>
          <w:tcPr>
            <w:tcW w:type="dxa" w:w="1440"/>
          </w:tcPr>
          <w:p>
            <w:r>
              <w:t>USInflationCalculator.com, citing U.S. Bureau of Labor Statistics CPI data — "Current U.S. Inflation Rates: 2000-2026" (usinflationcalculator.com/inflation/current-inflation-rates/)</w:t>
            </w:r>
          </w:p>
        </w:tc>
        <w:tc>
          <w:tcPr>
            <w:tcW w:type="dxa" w:w="1440"/>
          </w:tcPr>
          <w:p>
            <w:r>
              <w:t>Accessed 2026-08-22</w:t>
            </w:r>
          </w:p>
        </w:tc>
        <w:tc>
          <w:tcPr>
            <w:tcW w:type="dxa" w:w="1440"/>
          </w:tcPr>
          <w:p>
            <w:r>
              <w:t>MEDIUM</w:t>
            </w:r>
          </w:p>
        </w:tc>
      </w:tr>
    </w:tbl>
    <w:p/>
    <w:p>
      <w:r>
        <w:rPr>
          <w:b/>
        </w:rPr>
        <w:t xml:space="preserve">A note on what these sources are, and are not. </w:t>
      </w:r>
      <w:r>
        <w:t>S2's backtests use each fund's actual historical prices only back to when the underlying ETF launched (the mid-2000s for most of these funds); years before that are reconstructed from equivalent historical asset-class series, a documented and common backtesting method — not the same as trading history of the ETFs themselves. This case treats S2 as MEDIUM confidence for exactly that reason: real, transparent, dated methodology, but a third-party reconstruction rather than a primary index publisher's own number.</w:t>
      </w:r>
    </w:p>
    <w:p>
      <w:pPr>
        <w:pStyle w:val="Heading1"/>
      </w:pPr>
      <w:r>
        <w:t>Appendix F: "How To…" Math Questions To Research</w:t>
      </w:r>
    </w:p>
    <w:p>
      <w:pPr>
        <w:pStyle w:val="Heading2"/>
      </w:pPr>
      <w:r>
        <w:t>Vocabulary</w:t>
      </w:r>
    </w:p>
    <w:p>
      <w:r>
        <w:t>Number · Data · Bar Graph · Greater Than · Less Than · Equal · Decimal · Decimal Number · Percent · Integer · Negative Number · Positive Number · Ratio · Proportion · Currency · Time · Unit · Rounding · Mean · Range · Pie Chart · Coordinate Plane · X-Axis · Y-Axis · Origin · Coordinate Pair (also Ordered Pair) · Y-Intercept · Slope</w:t>
      </w:r>
    </w:p>
    <w:p>
      <w:pPr>
        <w:pStyle w:val="Heading2"/>
      </w:pPr>
      <w:r>
        <w:t>How to…</w:t>
      </w:r>
    </w:p>
    <w:p>
      <w:pPr>
        <w:pStyle w:val="ListBullet"/>
      </w:pPr>
      <w:r>
        <w:t>How to compare two or more values</w:t>
      </w:r>
    </w:p>
    <w:p>
      <w:pPr>
        <w:pStyle w:val="ListBullet"/>
      </w:pPr>
      <w:r>
        <w:t>How to convert percents to numbers</w:t>
      </w:r>
    </w:p>
    <w:p>
      <w:pPr>
        <w:pStyle w:val="ListBullet"/>
      </w:pPr>
      <w:r>
        <w:t>How to find the percent of a number</w:t>
      </w:r>
    </w:p>
    <w:p>
      <w:pPr>
        <w:pStyle w:val="ListBullet"/>
      </w:pPr>
      <w:r>
        <w:t>How to add with negative numbers</w:t>
      </w:r>
    </w:p>
    <w:p>
      <w:pPr>
        <w:pStyle w:val="ListBullet"/>
      </w:pPr>
      <w:r>
        <w:t>How to subtract with negative numbers</w:t>
      </w:r>
    </w:p>
    <w:p>
      <w:pPr>
        <w:pStyle w:val="ListBullet"/>
      </w:pPr>
      <w:r>
        <w:t>How to round a number to a specified place value</w:t>
      </w:r>
    </w:p>
    <w:p>
      <w:pPr>
        <w:pStyle w:val="ListBullet"/>
      </w:pPr>
      <w:r>
        <w:t>How to find the mean of a set of data</w:t>
      </w:r>
    </w:p>
    <w:p>
      <w:pPr>
        <w:pStyle w:val="ListBullet"/>
      </w:pPr>
      <w:r>
        <w:t>How to read decimal numbers</w:t>
      </w:r>
    </w:p>
    <w:p>
      <w:pPr>
        <w:pStyle w:val="ListBullet"/>
      </w:pPr>
      <w:r>
        <w:t>How to multiply decimal numbers</w:t>
      </w:r>
    </w:p>
    <w:p>
      <w:pPr>
        <w:pStyle w:val="ListBullet"/>
      </w:pPr>
      <w:r>
        <w:t>How to add decimal numbers</w:t>
      </w:r>
    </w:p>
    <w:p>
      <w:pPr>
        <w:pStyle w:val="ListBullet"/>
      </w:pPr>
      <w:r>
        <w:t>How to divide decimal numbers</w:t>
      </w:r>
    </w:p>
    <w:p>
      <w:pPr>
        <w:pStyle w:val="ListBullet"/>
      </w:pPr>
      <w:r>
        <w:t>How to create a pie chart given a set of data</w:t>
      </w:r>
    </w:p>
    <w:p>
      <w:pPr>
        <w:pStyle w:val="ListBullet"/>
      </w:pPr>
      <w:r>
        <w:t>How to graph a coordinate pair on the coordinate plane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