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Casino Owner</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The dealer's chips click against each other in a steady rhythm, a sound Emilia Carlon has learned to hear underneath everything else on the floor — the slot bells, the low roar of a table that just hit big, a cocktail tray clinking past on someone's shoulder. She's been walking this floor for two years and she still checks the pit count — her tables, at a glance — out of habit, out of the corner of her eye, without breaking stride.</w:t>
      </w:r>
    </w:p>
    <w:p>
      <w:r>
        <w:t xml:space="preserve">The elevator chimes. She doesn't need to turn around to know who it is — the two security guards step out first, then the assistant, then Danny Paseronopolis, exactly on schedule, the way he always is.</w:t>
      </w:r>
    </w:p>
    <w:p>
      <w:r>
        <w:t xml:space="preserve">"How is everything this evening?"</w:t>
      </w:r>
    </w:p>
    <w:p>
      <w:r>
        <w:t xml:space="preserve">"Running smoothly. Tables are full, should be a good night."</w:t>
      </w:r>
    </w:p>
    <w:p>
      <w:r>
        <w:t xml:space="preserve">"Very good." He says it the way he always says it when he's pleased, which is not often enough that she's stopped noticing. He looks out over the floor with her for a moment — the two of them just watching it hum.</w:t>
      </w:r>
    </w:p>
    <w:p>
      <w:r>
        <w:t xml:space="preserve">"Emilia, plans are in place to convert the south lobby into an additional gaming room. I'd like your thoughts on which game to place in that room. Can you let me know within two days?"</w:t>
      </w:r>
    </w:p>
    <w:p>
      <w:r>
        <w:t xml:space="preserve">"Yes, sir."</w:t>
      </w:r>
    </w:p>
    <w:p>
      <w:r>
        <w:t xml:space="preserve">He takes one more look across the floor, says "Very good" again to no one in particular, and heads for his next appointment. Emilia stands there a moment longer, running the two options through her head before she's even opened a spreadsheet — a room of card tables staffed by dealers, or a room of blinking machines that need no one at all.</w:t>
      </w:r>
    </w:p>
    <w:p>
      <w:r>
        <w:t xml:space="preserve">Two days. She pulls out her phone and opens a blank note.</w:t>
      </w:r>
    </w:p>
    <w:p>
      <w:pPr>
        <w:pStyle w:val="Heading2"/>
        <w:spacing w:after="120" w:before="240"/>
      </w:pPr>
      <w:r>
        <w:t xml:space="preserve">Background</w:t>
      </w:r>
    </w:p>
    <w:p>
      <w:r>
        <w:rPr>
          <w:b/>
          <w:bCs/>
        </w:rPr>
        <w:t xml:space="preserve">Emilia Carlon</w:t>
      </w:r>
      <w:r>
        <w:t xml:space="preserve"> has worked for </w:t>
      </w:r>
      <w:r>
        <w:rPr>
          <w:b/>
          <w:bCs/>
        </w:rPr>
        <w:t xml:space="preserve">Danny Paseronopolis</w:t>
      </w:r>
      <w:r>
        <w:t xml:space="preserve">, owner of </w:t>
      </w:r>
      <w:r>
        <w:rPr>
          <w:b/>
          <w:bCs/>
        </w:rPr>
        <w:t xml:space="preserve">The Landmark Hotel And Casino</w:t>
      </w:r>
      <w:r>
        <w:t xml:space="preserve">, in various roles for over ten years, including two years as the casino's manager — a position she took after a prior career as an actuarial consultant (someone who uses math and statistics professionally to measure risk, often for an insurance company). The Landmark has operated for more than 20 years and was recently ranked among the top 3 hotels and casinos in the city. Mr. Paseronopolis has given Emilia two days to recommend which of two games to install in the newly available south lobby space.</w:t>
      </w:r>
    </w:p>
    <w:p>
      <w:r>
        <w:t xml:space="preserve">The two options are:</w:t>
      </w:r>
    </w:p>
    <w:p>
      <w:pPr>
        <w:ind w:left="360"/>
      </w:pPr>
      <w:r>
        <w:t xml:space="preserve">- </w:t>
      </w:r>
      <w:r>
        <w:rPr>
          <w:b/>
          <w:bCs/>
        </w:rPr>
        <w:t xml:space="preserve">Indigo</w:t>
      </w:r>
      <w:r>
        <w:t xml:space="preserve"> — a dealer-managed card game, similar in structure to Poker or Blackjack. Players buy chips with their own money and bet on the strength of their hand; the casino does not bet for or against any player, but takes a percentage of each pot — the </w:t>
      </w:r>
      <w:r>
        <w:rPr>
          <w:b/>
          <w:bCs/>
        </w:rPr>
        <w:t xml:space="preserve">pot rake</w:t>
      </w:r>
      <w:r>
        <w:t xml:space="preserve"> — set by house policy for this game (</w:t>
      </w:r>
      <w:r>
        <w:rPr>
          <w:b/>
          <w:bCs/>
        </w:rPr>
        <w:t xml:space="preserve">SEE APPENDIX A</w:t>
      </w:r>
      <w:r>
        <w:t xml:space="preserve">). The south lobby can hold up to </w:t>
      </w:r>
      <w:r>
        <w:rPr>
          <w:b/>
          <w:bCs/>
        </w:rPr>
        <w:t xml:space="preserve">4 Indigo tables</w:t>
      </w:r>
      <w:r>
        <w:t xml:space="preserve">, each seating up to 7 players and requiring one trained dealer.</w:t>
      </w:r>
    </w:p>
    <w:p>
      <w:pPr>
        <w:ind w:left="360"/>
      </w:pPr>
      <w:r>
        <w:t xml:space="preserve">- </w:t>
      </w:r>
      <w:r>
        <w:rPr>
          <w:b/>
          <w:bCs/>
        </w:rPr>
        <w:t xml:space="preserve">Video Machines</w:t>
      </w:r>
      <w:r>
        <w:t xml:space="preserve"> — single-player, slot-style machines. A player bets a fixed amount and presses a button; the machine's built-in odds determine, at random, whether that turn wins. A winning turn pays the player their bet back plus an equal amount in winnings. On a losing turn, house policy for these machines splits the wagered amount between immediate casino revenue and a running jackpot pool (</w:t>
      </w:r>
      <w:r>
        <w:rPr>
          <w:b/>
          <w:bCs/>
        </w:rPr>
        <w:t xml:space="preserve">SEE APPENDIX B</w:t>
      </w:r>
      <w:r>
        <w:t xml:space="preserve">). The south lobby can hold up to </w:t>
      </w:r>
      <w:r>
        <w:rPr>
          <w:b/>
          <w:bCs/>
        </w:rPr>
        <w:t xml:space="preserve">25 video machines</w:t>
      </w:r>
      <w:r>
        <w:t xml:space="preserve">, needing no dealer but requiring two security staff per room regardless of how many machines are actually in use.</w:t>
      </w:r>
    </w:p>
    <w:p>
      <w:r>
        <w:t xml:space="preserve">The Landmark does not currently operate either game, so no historical revenue exists for this specific room. What Mr. Paseronopolis does have is two years of hour-by-hour player traffic from a comparable room at another property he owns, broken out by day of week and time of day (</w:t>
      </w:r>
      <w:r>
        <w:rPr>
          <w:b/>
          <w:bCs/>
        </w:rPr>
        <w:t xml:space="preserve">SEE APPENDIX C</w:t>
      </w:r>
      <w:r>
        <w:t xml:space="preserve">), plus that same room's beverage-sales data by game type (</w:t>
      </w:r>
      <w:r>
        <w:rPr>
          <w:b/>
          <w:bCs/>
        </w:rPr>
        <w:t xml:space="preserve">SEE APPENDIX D</w:t>
      </w:r>
      <w:r>
        <w:t xml:space="preserve">) — useful context for the pitch, though not required to answer the profit question Mr. Paseronopolis actually asked. Because neither game has ever run at The Landmark before, projecting a weekly profit also requires stating a few scenario assumptions in the open (</w:t>
      </w:r>
      <w:r>
        <w:rPr>
          <w:b/>
          <w:bCs/>
        </w:rPr>
        <w:t xml:space="preserve">SEE APPENDIX E</w:t>
      </w:r>
      <w:r>
        <w:t xml:space="preserve">) about which hours the new room operates and how it is staffed.</w:t>
      </w:r>
    </w:p>
    <w:p>
      <w:r>
        <w:t xml:space="preserve">Neither game changes the cost of remodeling the south lobby itself — only the cost of the tables or machines and the staff who run them (Appendix A, Appendix B).</w:t>
      </w:r>
    </w:p>
    <w:p>
      <w:r>
        <w:t xml:space="preserve">The vocabulary and "how to…" skills this case will ask you to research are listed in </w:t>
      </w:r>
      <w:r>
        <w:rPr>
          <w:b/>
          <w:bCs/>
        </w:rPr>
        <w:t xml:space="preserve">Appendix G</w:t>
      </w:r>
      <w:r>
        <w:t xml:space="preserve"> — that is where Challenge 1 sends you. Curious how the pot rake and slot-machine odds work in real casinos beyond what's given here? </w:t>
      </w:r>
      <w:r>
        <w:rPr>
          <w:b/>
          <w:bCs/>
        </w:rPr>
        <w:t xml:space="preserve">SEE APPENDIX F</w:t>
      </w:r>
      <w:r>
        <w:t xml:space="preserve"> for further reading.</w:t>
      </w:r>
    </w:p>
    <w:p>
      <w:pPr>
        <w:pStyle w:val="Heading2"/>
        <w:spacing w:after="120" w:before="240"/>
      </w:pPr>
      <w:r>
        <w:t xml:space="preserve">Dilemma</w:t>
      </w:r>
    </w:p>
    <w:p>
      <w:r>
        <w:t xml:space="preserve">You are Emilia Carlon.</w:t>
      </w:r>
    </w:p>
    <w:p>
      <w:r>
        <w:t xml:space="preserve">Do you:</w:t>
      </w:r>
    </w:p>
    <w:p>
      <w:r>
        <w:rPr>
          <w:b/>
          <w:bCs/>
        </w:rPr>
        <w:t xml:space="preserve">A.)</w:t>
      </w:r>
      <w:r>
        <w:t xml:space="preserve"> Pitch the Indigo card tables </w:t>
      </w:r>
      <w:r>
        <w:rPr>
          <w:b/>
          <w:bCs/>
        </w:rPr>
        <w:t xml:space="preserve">OR</w:t>
      </w:r>
    </w:p>
    <w:p>
      <w:r>
        <w:rPr>
          <w:b/>
          <w:bCs/>
        </w:rPr>
        <w:t xml:space="preserve">B.)</w:t>
      </w:r>
      <w:r>
        <w:t xml:space="preserve"> Pitch the video machines?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w:t>
      </w:r>
    </w:p>
    <w:p>
      <w:pPr>
        <w:ind w:left="360"/>
      </w:pPr>
      <w:r>
        <w:t xml:space="preserve">- </w:t>
      </w:r>
      <w:r>
        <w:rPr>
          <w:b/>
          <w:bCs/>
        </w:rPr>
        <w:t xml:space="preserve">D1 — An Indigo rake-and-length table.</w:t>
      </w:r>
      <w:r>
        <w:t xml:space="preserve"> For each of the three player-count tiers in Appendix A (1–3, 4–5, and 6–7 players seated), compute the </w:t>
      </w:r>
      <w:r>
        <w:rPr>
          <w:i/>
          <w:iCs/>
        </w:rPr>
        <w:t xml:space="preserve">weighted-average</w:t>
      </w:r>
      <w:r>
        <w:t xml:space="preserve"> dollar rake the house collects per game and the </w:t>
      </w:r>
      <w:r>
        <w:rPr>
          <w:i/>
          <w:iCs/>
        </w:rPr>
        <w:t xml:space="preserve">weighted-average</w:t>
      </w:r>
      <w:r>
        <w:t xml:space="preserve"> length of a game, using the pot-size frequency distribution given for that tier.</w:t>
      </w:r>
    </w:p>
    <w:p>
      <w:pPr>
        <w:ind w:left="360"/>
      </w:pPr>
      <w:r>
        <w:t xml:space="preserve">- </w:t>
      </w:r>
      <w:r>
        <w:rPr>
          <w:b/>
          <w:bCs/>
        </w:rPr>
        <w:t xml:space="preserve">D2 — An Indigo dollars-per-table-per-hour figure</w:t>
      </w:r>
      <w:r>
        <w:t xml:space="preserve">, for each of the three tiers, converting D1's average game length into games per hour and multiplying by D1's average rake per game.</w:t>
      </w:r>
    </w:p>
    <w:p>
      <w:pPr>
        <w:ind w:left="360"/>
      </w:pPr>
      <w:r>
        <w:t xml:space="preserve">- </w:t>
      </w:r>
      <w:r>
        <w:rPr>
          <w:b/>
          <w:bCs/>
        </w:rPr>
        <w:t xml:space="preserve">D3 — A single blended profit-per-play figure for the video machines</w:t>
      </w:r>
      <w:r>
        <w:t xml:space="preserve">, computed from Appendix B's betting-frequency table and its win-odds table. (You will need to convert each "X to 1" odds figure into a win probability first.)</w:t>
      </w:r>
    </w:p>
    <w:p>
      <w:pPr>
        <w:ind w:left="360"/>
      </w:pPr>
      <w:r>
        <w:t xml:space="preserve">- </w:t>
      </w:r>
      <w:r>
        <w:rPr>
          <w:b/>
          <w:bCs/>
        </w:rPr>
        <w:t xml:space="preserve">D4 — A projected weekly profit for each option</w:t>
      </w:r>
      <w:r>
        <w:t xml:space="preserve">, built up step by step from Appendix C's traffic data: how many tables or active machines are running in each time block, how much each produces per hour (from D2/D3), how many hours in the week that block covers, and the wage cost of the staff who run it (Appendix A, Appendix B). State plainly which hours of the week your projection assumes the new room is open, and why.</w:t>
      </w:r>
    </w:p>
    <w:p>
      <w:pPr>
        <w:ind w:left="360"/>
      </w:pPr>
      <w:r>
        <w:t xml:space="preserve">- </w:t>
      </w:r>
      <w:r>
        <w:rPr>
          <w:b/>
          <w:bCs/>
        </w:rPr>
        <w:t xml:space="preserve">D5 — An original bar graph</w:t>
      </w:r>
      <w:r>
        <w:t xml:space="preserve"> comparing the two options' total projected weekly profit from D4, plus a written comparison explaining the gap.</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Indigo Game Summary</w:t>
      </w:r>
    </w:p>
    <w:p>
      <w:pPr>
        <w:ind w:left="360"/>
      </w:pPr>
      <w:r>
        <w:t xml:space="preserve">- Minimum buy-in (the money a player pays up front to get chips to play with — not a fee to the house): </w:t>
      </w:r>
      <w:r>
        <w:rPr>
          <w:b/>
          <w:bCs/>
        </w:rPr>
        <w:t xml:space="preserve">$50</w:t>
      </w:r>
      <w:r>
        <w:t xml:space="preserve">. Maximum pot: </w:t>
      </w:r>
      <w:r>
        <w:rPr>
          <w:b/>
          <w:bCs/>
        </w:rPr>
        <w:t xml:space="preserve">$10,000</w:t>
      </w:r>
      <w:r>
        <w:t xml:space="preserve">. The buy-in and the pot are two separate pools of money: the buy-in is what a player pays just to sit down and get chips, once, before the hand starts; the pot is what accumulates from bets placed during that single hand, and it is the pot — not the buy-in — that the pot rake is taken from.</w:t>
      </w:r>
    </w:p>
    <w:p>
      <w:pPr>
        <w:ind w:left="360"/>
      </w:pPr>
      <w:r>
        <w:t xml:space="preserve">- Each table seats up to </w:t>
      </w:r>
      <w:r>
        <w:rPr>
          <w:b/>
          <w:bCs/>
        </w:rPr>
        <w:t xml:space="preserve">7 players</w:t>
      </w:r>
      <w:r>
        <w:t xml:space="preserve"> and requires one trained dealer, paid </w:t>
      </w:r>
      <w:r>
        <w:rPr>
          <w:b/>
          <w:bCs/>
        </w:rPr>
        <w:t xml:space="preserve">$12.50 per hour</w:t>
      </w:r>
      <w:r>
        <w:t xml:space="preserve">.</w:t>
      </w:r>
    </w:p>
    <w:p>
      <w:pPr>
        <w:ind w:left="360"/>
      </w:pPr>
      <w:r>
        <w:t xml:space="preserve">- Each table costs </w:t>
      </w:r>
      <w:r>
        <w:rPr>
          <w:b/>
          <w:bCs/>
        </w:rPr>
        <w:t xml:space="preserve">$14,650</w:t>
      </w:r>
      <w:r>
        <w:t xml:space="preserve"> to purchase and install.</w:t>
      </w:r>
    </w:p>
    <w:p>
      <w:pPr>
        <w:ind w:left="360"/>
      </w:pPr>
      <w:r>
        <w:t xml:space="preserve">- The Landmark's house policy sets the pot rake — the percentage of each pot the casino keeps — inside the ranges shown below; the exact rake charged rises with pot size, as shown in the tables.</w:t>
      </w:r>
    </w:p>
    <w:p>
      <w:r>
        <w:t xml:space="preserve">The three tables below all use the same six pot-size bands, but the frequency of each band, the rake percentage charged, and the average time per game all shift depending on how many players are seated at the table.</w:t>
      </w:r>
    </w:p>
    <w:p>
      <w:r>
        <w:rPr>
          <w:b/>
          <w:bCs/>
        </w:rPr>
        <w:t xml:space="preserve">1–3 players at the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Pot size</w:t>
            </w:r>
          </w:p>
        </w:tc>
        <w:tc>
          <w:tcPr>
            <w:tcW w:type="dxa" w:w="2250"/>
            <w:shd w:fill="DDDDDD" w:val="clear"/>
          </w:tcPr>
          <w:p>
            <w:r>
              <w:t xml:space="preserve">Frequency of this pot size</w:t>
            </w:r>
          </w:p>
        </w:tc>
        <w:tc>
          <w:tcPr>
            <w:tcW w:type="dxa" w:w="2250"/>
            <w:shd w:fill="DDDDDD" w:val="clear"/>
          </w:tcPr>
          <w:p>
            <w:r>
              <w:t xml:space="preserve">Pot rake %</w:t>
            </w:r>
          </w:p>
        </w:tc>
        <w:tc>
          <w:tcPr>
            <w:tcW w:type="dxa" w:w="2250"/>
            <w:shd w:fill="DDDDDD" w:val="clear"/>
          </w:tcPr>
          <w:p>
            <w:r>
              <w:t xml:space="preserve">Avg. time per game</w:t>
            </w:r>
          </w:p>
        </w:tc>
      </w:tr>
      <w:tr>
        <w:tc>
          <w:tcPr>
            <w:tcW w:type="dxa" w:w="2250"/>
          </w:tcPr>
          <w:p>
            <w:r>
              <w:t xml:space="preserve">$100.00 – $500.00</w:t>
            </w:r>
          </w:p>
        </w:tc>
        <w:tc>
          <w:tcPr>
            <w:tcW w:type="dxa" w:w="2250"/>
          </w:tcPr>
          <w:p>
            <w:r>
              <w:t xml:space="preserve">31.0%</w:t>
            </w:r>
          </w:p>
        </w:tc>
        <w:tc>
          <w:tcPr>
            <w:tcW w:type="dxa" w:w="2250"/>
          </w:tcPr>
          <w:p>
            <w:r>
              <w:t xml:space="preserve">8.1%</w:t>
            </w:r>
          </w:p>
        </w:tc>
        <w:tc>
          <w:tcPr>
            <w:tcW w:type="dxa" w:w="2250"/>
          </w:tcPr>
          <w:p>
            <w:r>
              <w:t xml:space="preserve">4.3 min</w:t>
            </w:r>
          </w:p>
        </w:tc>
      </w:tr>
      <w:tr>
        <w:tc>
          <w:tcPr>
            <w:tcW w:type="dxa" w:w="2250"/>
          </w:tcPr>
          <w:p>
            <w:r>
              <w:t xml:space="preserve">$500.01 – $1,000.00</w:t>
            </w:r>
          </w:p>
        </w:tc>
        <w:tc>
          <w:tcPr>
            <w:tcW w:type="dxa" w:w="2250"/>
          </w:tcPr>
          <w:p>
            <w:r>
              <w:t xml:space="preserve">27.6%</w:t>
            </w:r>
          </w:p>
        </w:tc>
        <w:tc>
          <w:tcPr>
            <w:tcW w:type="dxa" w:w="2250"/>
          </w:tcPr>
          <w:p>
            <w:r>
              <w:t xml:space="preserve">6.4%</w:t>
            </w:r>
          </w:p>
        </w:tc>
        <w:tc>
          <w:tcPr>
            <w:tcW w:type="dxa" w:w="2250"/>
          </w:tcPr>
          <w:p>
            <w:r>
              <w:t xml:space="preserve">9.8 min</w:t>
            </w:r>
          </w:p>
        </w:tc>
      </w:tr>
      <w:tr>
        <w:tc>
          <w:tcPr>
            <w:tcW w:type="dxa" w:w="2250"/>
          </w:tcPr>
          <w:p>
            <w:r>
              <w:t xml:space="preserve">$1,000.01 – $2,500.00</w:t>
            </w:r>
          </w:p>
        </w:tc>
        <w:tc>
          <w:tcPr>
            <w:tcW w:type="dxa" w:w="2250"/>
          </w:tcPr>
          <w:p>
            <w:r>
              <w:t xml:space="preserve">21.8%</w:t>
            </w:r>
          </w:p>
        </w:tc>
        <w:tc>
          <w:tcPr>
            <w:tcW w:type="dxa" w:w="2250"/>
          </w:tcPr>
          <w:p>
            <w:r>
              <w:t xml:space="preserve">7.5%</w:t>
            </w:r>
          </w:p>
        </w:tc>
        <w:tc>
          <w:tcPr>
            <w:tcW w:type="dxa" w:w="2250"/>
          </w:tcPr>
          <w:p>
            <w:r>
              <w:t xml:space="preserve">15.2 min</w:t>
            </w:r>
          </w:p>
        </w:tc>
      </w:tr>
      <w:tr>
        <w:tc>
          <w:tcPr>
            <w:tcW w:type="dxa" w:w="2250"/>
          </w:tcPr>
          <w:p>
            <w:r>
              <w:t xml:space="preserve">$2,500.01 – $5,000.00</w:t>
            </w:r>
          </w:p>
        </w:tc>
        <w:tc>
          <w:tcPr>
            <w:tcW w:type="dxa" w:w="2250"/>
          </w:tcPr>
          <w:p>
            <w:r>
              <w:t xml:space="preserve">10.3%</w:t>
            </w:r>
          </w:p>
        </w:tc>
        <w:tc>
          <w:tcPr>
            <w:tcW w:type="dxa" w:w="2250"/>
          </w:tcPr>
          <w:p>
            <w:r>
              <w:t xml:space="preserve">8.2%</w:t>
            </w:r>
          </w:p>
        </w:tc>
        <w:tc>
          <w:tcPr>
            <w:tcW w:type="dxa" w:w="2250"/>
          </w:tcPr>
          <w:p>
            <w:r>
              <w:t xml:space="preserve">31.8 min</w:t>
            </w:r>
          </w:p>
        </w:tc>
      </w:tr>
      <w:tr>
        <w:tc>
          <w:tcPr>
            <w:tcW w:type="dxa" w:w="2250"/>
          </w:tcPr>
          <w:p>
            <w:r>
              <w:t xml:space="preserve">$5,000.01 – $7,500.00</w:t>
            </w:r>
          </w:p>
        </w:tc>
        <w:tc>
          <w:tcPr>
            <w:tcW w:type="dxa" w:w="2250"/>
          </w:tcPr>
          <w:p>
            <w:r>
              <w:t xml:space="preserve">7.7%</w:t>
            </w:r>
          </w:p>
        </w:tc>
        <w:tc>
          <w:tcPr>
            <w:tcW w:type="dxa" w:w="2250"/>
          </w:tcPr>
          <w:p>
            <w:r>
              <w:t xml:space="preserve">8.9%</w:t>
            </w:r>
          </w:p>
        </w:tc>
        <w:tc>
          <w:tcPr>
            <w:tcW w:type="dxa" w:w="2250"/>
          </w:tcPr>
          <w:p>
            <w:r>
              <w:t xml:space="preserve">46.2 min</w:t>
            </w:r>
          </w:p>
        </w:tc>
      </w:tr>
      <w:tr>
        <w:tc>
          <w:tcPr>
            <w:tcW w:type="dxa" w:w="2250"/>
          </w:tcPr>
          <w:p>
            <w:r>
              <w:t xml:space="preserve">$7,500.01 – $10,000.00</w:t>
            </w:r>
          </w:p>
        </w:tc>
        <w:tc>
          <w:tcPr>
            <w:tcW w:type="dxa" w:w="2250"/>
          </w:tcPr>
          <w:p>
            <w:r>
              <w:t xml:space="preserve">1.6%</w:t>
            </w:r>
          </w:p>
        </w:tc>
        <w:tc>
          <w:tcPr>
            <w:tcW w:type="dxa" w:w="2250"/>
          </w:tcPr>
          <w:p>
            <w:r>
              <w:t xml:space="preserve">9.9%</w:t>
            </w:r>
          </w:p>
        </w:tc>
        <w:tc>
          <w:tcPr>
            <w:tcW w:type="dxa" w:w="2250"/>
          </w:tcPr>
          <w:p>
            <w:r>
              <w:t xml:space="preserve">54.2 min</w:t>
            </w:r>
          </w:p>
        </w:tc>
      </w:tr>
    </w:tbl>
    <w:p/>
    <w:p>
      <w:r>
        <w:rPr>
          <w:b/>
          <w:bCs/>
        </w:rPr>
        <w:t xml:space="preserve">4–5 players at the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Pot size</w:t>
            </w:r>
          </w:p>
        </w:tc>
        <w:tc>
          <w:tcPr>
            <w:tcW w:type="dxa" w:w="2250"/>
            <w:shd w:fill="DDDDDD" w:val="clear"/>
          </w:tcPr>
          <w:p>
            <w:r>
              <w:t xml:space="preserve">Frequency of this pot size</w:t>
            </w:r>
          </w:p>
        </w:tc>
        <w:tc>
          <w:tcPr>
            <w:tcW w:type="dxa" w:w="2250"/>
            <w:shd w:fill="DDDDDD" w:val="clear"/>
          </w:tcPr>
          <w:p>
            <w:r>
              <w:t xml:space="preserve">Pot rake %</w:t>
            </w:r>
          </w:p>
        </w:tc>
        <w:tc>
          <w:tcPr>
            <w:tcW w:type="dxa" w:w="2250"/>
            <w:shd w:fill="DDDDDD" w:val="clear"/>
          </w:tcPr>
          <w:p>
            <w:r>
              <w:t xml:space="preserve">Avg. time per game</w:t>
            </w:r>
          </w:p>
        </w:tc>
      </w:tr>
      <w:tr>
        <w:tc>
          <w:tcPr>
            <w:tcW w:type="dxa" w:w="2250"/>
          </w:tcPr>
          <w:p>
            <w:r>
              <w:t xml:space="preserve">$100.00 – $500.00</w:t>
            </w:r>
          </w:p>
        </w:tc>
        <w:tc>
          <w:tcPr>
            <w:tcW w:type="dxa" w:w="2250"/>
          </w:tcPr>
          <w:p>
            <w:r>
              <w:t xml:space="preserve">11.4%</w:t>
            </w:r>
          </w:p>
        </w:tc>
        <w:tc>
          <w:tcPr>
            <w:tcW w:type="dxa" w:w="2250"/>
          </w:tcPr>
          <w:p>
            <w:r>
              <w:t xml:space="preserve">8.2%</w:t>
            </w:r>
          </w:p>
        </w:tc>
        <w:tc>
          <w:tcPr>
            <w:tcW w:type="dxa" w:w="2250"/>
          </w:tcPr>
          <w:p>
            <w:r>
              <w:t xml:space="preserve">6.7 min</w:t>
            </w:r>
          </w:p>
        </w:tc>
      </w:tr>
      <w:tr>
        <w:tc>
          <w:tcPr>
            <w:tcW w:type="dxa" w:w="2250"/>
          </w:tcPr>
          <w:p>
            <w:r>
              <w:t xml:space="preserve">$500.01 – $1,000.00</w:t>
            </w:r>
          </w:p>
        </w:tc>
        <w:tc>
          <w:tcPr>
            <w:tcW w:type="dxa" w:w="2250"/>
          </w:tcPr>
          <w:p>
            <w:r>
              <w:t xml:space="preserve">20.6%</w:t>
            </w:r>
          </w:p>
        </w:tc>
        <w:tc>
          <w:tcPr>
            <w:tcW w:type="dxa" w:w="2250"/>
          </w:tcPr>
          <w:p>
            <w:r>
              <w:t xml:space="preserve">6.5%</w:t>
            </w:r>
          </w:p>
        </w:tc>
        <w:tc>
          <w:tcPr>
            <w:tcW w:type="dxa" w:w="2250"/>
          </w:tcPr>
          <w:p>
            <w:r>
              <w:t xml:space="preserve">11.2 min</w:t>
            </w:r>
          </w:p>
        </w:tc>
      </w:tr>
      <w:tr>
        <w:tc>
          <w:tcPr>
            <w:tcW w:type="dxa" w:w="2250"/>
          </w:tcPr>
          <w:p>
            <w:r>
              <w:t xml:space="preserve">$1,000.01 – $2,500.00</w:t>
            </w:r>
          </w:p>
        </w:tc>
        <w:tc>
          <w:tcPr>
            <w:tcW w:type="dxa" w:w="2250"/>
          </w:tcPr>
          <w:p>
            <w:r>
              <w:t xml:space="preserve">38.5%</w:t>
            </w:r>
          </w:p>
        </w:tc>
        <w:tc>
          <w:tcPr>
            <w:tcW w:type="dxa" w:w="2250"/>
          </w:tcPr>
          <w:p>
            <w:r>
              <w:t xml:space="preserve">7.4%</w:t>
            </w:r>
          </w:p>
        </w:tc>
        <w:tc>
          <w:tcPr>
            <w:tcW w:type="dxa" w:w="2250"/>
          </w:tcPr>
          <w:p>
            <w:r>
              <w:t xml:space="preserve">18.5 min</w:t>
            </w:r>
          </w:p>
        </w:tc>
      </w:tr>
      <w:tr>
        <w:tc>
          <w:tcPr>
            <w:tcW w:type="dxa" w:w="2250"/>
          </w:tcPr>
          <w:p>
            <w:r>
              <w:t xml:space="preserve">$2,500.01 – $5,000.00</w:t>
            </w:r>
          </w:p>
        </w:tc>
        <w:tc>
          <w:tcPr>
            <w:tcW w:type="dxa" w:w="2250"/>
          </w:tcPr>
          <w:p>
            <w:r>
              <w:t xml:space="preserve">14.4%</w:t>
            </w:r>
          </w:p>
        </w:tc>
        <w:tc>
          <w:tcPr>
            <w:tcW w:type="dxa" w:w="2250"/>
          </w:tcPr>
          <w:p>
            <w:r>
              <w:t xml:space="preserve">8.2%</w:t>
            </w:r>
          </w:p>
        </w:tc>
        <w:tc>
          <w:tcPr>
            <w:tcW w:type="dxa" w:w="2250"/>
          </w:tcPr>
          <w:p>
            <w:r>
              <w:t xml:space="preserve">34.0 min</w:t>
            </w:r>
          </w:p>
        </w:tc>
      </w:tr>
      <w:tr>
        <w:tc>
          <w:tcPr>
            <w:tcW w:type="dxa" w:w="2250"/>
          </w:tcPr>
          <w:p>
            <w:r>
              <w:t xml:space="preserve">$5,000.01 – $7,500.00</w:t>
            </w:r>
          </w:p>
        </w:tc>
        <w:tc>
          <w:tcPr>
            <w:tcW w:type="dxa" w:w="2250"/>
          </w:tcPr>
          <w:p>
            <w:r>
              <w:t xml:space="preserve">10.7%</w:t>
            </w:r>
          </w:p>
        </w:tc>
        <w:tc>
          <w:tcPr>
            <w:tcW w:type="dxa" w:w="2250"/>
          </w:tcPr>
          <w:p>
            <w:r>
              <w:t xml:space="preserve">8.7%</w:t>
            </w:r>
          </w:p>
        </w:tc>
        <w:tc>
          <w:tcPr>
            <w:tcW w:type="dxa" w:w="2250"/>
          </w:tcPr>
          <w:p>
            <w:r>
              <w:t xml:space="preserve">50.3 min</w:t>
            </w:r>
          </w:p>
        </w:tc>
      </w:tr>
      <w:tr>
        <w:tc>
          <w:tcPr>
            <w:tcW w:type="dxa" w:w="2250"/>
          </w:tcPr>
          <w:p>
            <w:r>
              <w:t xml:space="preserve">$7,500.01 – $10,000.00</w:t>
            </w:r>
          </w:p>
        </w:tc>
        <w:tc>
          <w:tcPr>
            <w:tcW w:type="dxa" w:w="2250"/>
          </w:tcPr>
          <w:p>
            <w:r>
              <w:t xml:space="preserve">4.4%</w:t>
            </w:r>
          </w:p>
        </w:tc>
        <w:tc>
          <w:tcPr>
            <w:tcW w:type="dxa" w:w="2250"/>
          </w:tcPr>
          <w:p>
            <w:r>
              <w:t xml:space="preserve">9.8%</w:t>
            </w:r>
          </w:p>
        </w:tc>
        <w:tc>
          <w:tcPr>
            <w:tcW w:type="dxa" w:w="2250"/>
          </w:tcPr>
          <w:p>
            <w:r>
              <w:t xml:space="preserve">61.2 min</w:t>
            </w:r>
          </w:p>
        </w:tc>
      </w:tr>
    </w:tbl>
    <w:p/>
    <w:p>
      <w:r>
        <w:rPr>
          <w:b/>
          <w:bCs/>
        </w:rPr>
        <w:t xml:space="preserve">6–7 players at the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Pot size</w:t>
            </w:r>
          </w:p>
        </w:tc>
        <w:tc>
          <w:tcPr>
            <w:tcW w:type="dxa" w:w="2250"/>
            <w:shd w:fill="DDDDDD" w:val="clear"/>
          </w:tcPr>
          <w:p>
            <w:r>
              <w:t xml:space="preserve">Frequency of this pot size</w:t>
            </w:r>
          </w:p>
        </w:tc>
        <w:tc>
          <w:tcPr>
            <w:tcW w:type="dxa" w:w="2250"/>
            <w:shd w:fill="DDDDDD" w:val="clear"/>
          </w:tcPr>
          <w:p>
            <w:r>
              <w:t xml:space="preserve">Pot rake %</w:t>
            </w:r>
          </w:p>
        </w:tc>
        <w:tc>
          <w:tcPr>
            <w:tcW w:type="dxa" w:w="2250"/>
            <w:shd w:fill="DDDDDD" w:val="clear"/>
          </w:tcPr>
          <w:p>
            <w:r>
              <w:t xml:space="preserve">Avg. time per game</w:t>
            </w:r>
          </w:p>
        </w:tc>
      </w:tr>
      <w:tr>
        <w:tc>
          <w:tcPr>
            <w:tcW w:type="dxa" w:w="2250"/>
          </w:tcPr>
          <w:p>
            <w:r>
              <w:t xml:space="preserve">$100.00 – $500.00</w:t>
            </w:r>
          </w:p>
        </w:tc>
        <w:tc>
          <w:tcPr>
            <w:tcW w:type="dxa" w:w="2250"/>
          </w:tcPr>
          <w:p>
            <w:r>
              <w:t xml:space="preserve">7.8%</w:t>
            </w:r>
          </w:p>
        </w:tc>
        <w:tc>
          <w:tcPr>
            <w:tcW w:type="dxa" w:w="2250"/>
          </w:tcPr>
          <w:p>
            <w:r>
              <w:t xml:space="preserve">8.2%</w:t>
            </w:r>
          </w:p>
        </w:tc>
        <w:tc>
          <w:tcPr>
            <w:tcW w:type="dxa" w:w="2250"/>
          </w:tcPr>
          <w:p>
            <w:r>
              <w:t xml:space="preserve">4.3 min</w:t>
            </w:r>
          </w:p>
        </w:tc>
      </w:tr>
      <w:tr>
        <w:tc>
          <w:tcPr>
            <w:tcW w:type="dxa" w:w="2250"/>
          </w:tcPr>
          <w:p>
            <w:r>
              <w:t xml:space="preserve">$500.01 – $1,000.00</w:t>
            </w:r>
          </w:p>
        </w:tc>
        <w:tc>
          <w:tcPr>
            <w:tcW w:type="dxa" w:w="2250"/>
          </w:tcPr>
          <w:p>
            <w:r>
              <w:t xml:space="preserve">21.5%</w:t>
            </w:r>
          </w:p>
        </w:tc>
        <w:tc>
          <w:tcPr>
            <w:tcW w:type="dxa" w:w="2250"/>
          </w:tcPr>
          <w:p>
            <w:r>
              <w:t xml:space="preserve">6.5%</w:t>
            </w:r>
          </w:p>
        </w:tc>
        <w:tc>
          <w:tcPr>
            <w:tcW w:type="dxa" w:w="2250"/>
          </w:tcPr>
          <w:p>
            <w:r>
              <w:t xml:space="preserve">9.8 min</w:t>
            </w:r>
          </w:p>
        </w:tc>
      </w:tr>
      <w:tr>
        <w:tc>
          <w:tcPr>
            <w:tcW w:type="dxa" w:w="2250"/>
          </w:tcPr>
          <w:p>
            <w:r>
              <w:t xml:space="preserve">$1,000.01 – $2,500.00</w:t>
            </w:r>
          </w:p>
        </w:tc>
        <w:tc>
          <w:tcPr>
            <w:tcW w:type="dxa" w:w="2250"/>
          </w:tcPr>
          <w:p>
            <w:r>
              <w:t xml:space="preserve">37.3%</w:t>
            </w:r>
          </w:p>
        </w:tc>
        <w:tc>
          <w:tcPr>
            <w:tcW w:type="dxa" w:w="2250"/>
          </w:tcPr>
          <w:p>
            <w:r>
              <w:t xml:space="preserve">7.2%</w:t>
            </w:r>
          </w:p>
        </w:tc>
        <w:tc>
          <w:tcPr>
            <w:tcW w:type="dxa" w:w="2250"/>
          </w:tcPr>
          <w:p>
            <w:r>
              <w:t xml:space="preserve">15.2 min</w:t>
            </w:r>
          </w:p>
        </w:tc>
      </w:tr>
      <w:tr>
        <w:tc>
          <w:tcPr>
            <w:tcW w:type="dxa" w:w="2250"/>
          </w:tcPr>
          <w:p>
            <w:r>
              <w:t xml:space="preserve">$2,500.01 – $5,000.00</w:t>
            </w:r>
          </w:p>
        </w:tc>
        <w:tc>
          <w:tcPr>
            <w:tcW w:type="dxa" w:w="2250"/>
          </w:tcPr>
          <w:p>
            <w:r>
              <w:t xml:space="preserve">20.4%</w:t>
            </w:r>
          </w:p>
        </w:tc>
        <w:tc>
          <w:tcPr>
            <w:tcW w:type="dxa" w:w="2250"/>
          </w:tcPr>
          <w:p>
            <w:r>
              <w:t xml:space="preserve">8.2%</w:t>
            </w:r>
          </w:p>
        </w:tc>
        <w:tc>
          <w:tcPr>
            <w:tcW w:type="dxa" w:w="2250"/>
          </w:tcPr>
          <w:p>
            <w:r>
              <w:t xml:space="preserve">31.8 min</w:t>
            </w:r>
          </w:p>
        </w:tc>
      </w:tr>
      <w:tr>
        <w:tc>
          <w:tcPr>
            <w:tcW w:type="dxa" w:w="2250"/>
          </w:tcPr>
          <w:p>
            <w:r>
              <w:t xml:space="preserve">$5,000.01 – $7,500.00</w:t>
            </w:r>
          </w:p>
        </w:tc>
        <w:tc>
          <w:tcPr>
            <w:tcW w:type="dxa" w:w="2250"/>
          </w:tcPr>
          <w:p>
            <w:r>
              <w:t xml:space="preserve">7.2%</w:t>
            </w:r>
          </w:p>
        </w:tc>
        <w:tc>
          <w:tcPr>
            <w:tcW w:type="dxa" w:w="2250"/>
          </w:tcPr>
          <w:p>
            <w:r>
              <w:t xml:space="preserve">8.7%</w:t>
            </w:r>
          </w:p>
        </w:tc>
        <w:tc>
          <w:tcPr>
            <w:tcW w:type="dxa" w:w="2250"/>
          </w:tcPr>
          <w:p>
            <w:r>
              <w:t xml:space="preserve">46.2 min</w:t>
            </w:r>
          </w:p>
        </w:tc>
      </w:tr>
      <w:tr>
        <w:tc>
          <w:tcPr>
            <w:tcW w:type="dxa" w:w="2250"/>
          </w:tcPr>
          <w:p>
            <w:r>
              <w:t xml:space="preserve">$7,500.01 – $10,000.00</w:t>
            </w:r>
          </w:p>
        </w:tc>
        <w:tc>
          <w:tcPr>
            <w:tcW w:type="dxa" w:w="2250"/>
          </w:tcPr>
          <w:p>
            <w:r>
              <w:t xml:space="preserve">5.8%</w:t>
            </w:r>
          </w:p>
        </w:tc>
        <w:tc>
          <w:tcPr>
            <w:tcW w:type="dxa" w:w="2250"/>
          </w:tcPr>
          <w:p>
            <w:r>
              <w:t xml:space="preserve">9.8%</w:t>
            </w:r>
          </w:p>
        </w:tc>
        <w:tc>
          <w:tcPr>
            <w:tcW w:type="dxa" w:w="2250"/>
          </w:tcPr>
          <w:p>
            <w:r>
              <w:t xml:space="preserve">54.2 min</w:t>
            </w:r>
          </w:p>
        </w:tc>
      </w:tr>
    </w:tbl>
    <w:p/>
    <w:p>
      <w:r>
        <w:rPr>
          <w:i/>
          <w:iCs/>
        </w:rPr>
        <w:t xml:space="preserve">Reading the table: at a 1–3 player table, a pot lands between $100.00 and $500.00 in 31.0% of games, and the house's rake on a pot in that band is 8.1% of the pot. Treat "pot size" as the midpoint of the listed range when a single dollar figure is needed for a calculation — for example, $300.00 for the $100.00–$500.00 band.</w:t>
      </w:r>
    </w:p>
    <w:p>
      <w:pPr>
        <w:pStyle w:val="Heading2"/>
        <w:spacing w:after="120" w:before="240"/>
      </w:pPr>
      <w:r>
        <w:t xml:space="preserve">Appendix B: Video Machine Summary</w:t>
      </w:r>
    </w:p>
    <w:p>
      <w:pPr>
        <w:ind w:left="360"/>
      </w:pPr>
      <w:r>
        <w:t xml:space="preserve">- Four fixed bet amounts are available: </w:t>
      </w:r>
      <w:r>
        <w:rPr>
          <w:b/>
          <w:bCs/>
        </w:rPr>
        <w:t xml:space="preserve">$0.50, $1.00, $1.50, $2.50.</w:t>
      </w:r>
      <w:r>
        <w:t xml:space="preserve"> Only one player plays a machine at a time.</w:t>
      </w:r>
    </w:p>
    <w:p>
      <w:pPr>
        <w:ind w:left="360"/>
      </w:pPr>
      <w:r>
        <w:t xml:space="preserve">- Each room of video machines requires </w:t>
      </w:r>
      <w:r>
        <w:rPr>
          <w:b/>
          <w:bCs/>
        </w:rPr>
        <w:t xml:space="preserve">two security employees</w:t>
      </w:r>
      <w:r>
        <w:t xml:space="preserve">, regardless of how many machines are installed or in use, paid </w:t>
      </w:r>
      <w:r>
        <w:rPr>
          <w:b/>
          <w:bCs/>
        </w:rPr>
        <w:t xml:space="preserve">$7.50 per hour</w:t>
      </w:r>
      <w:r>
        <w:t xml:space="preserve"> each.</w:t>
      </w:r>
    </w:p>
    <w:p>
      <w:pPr>
        <w:ind w:left="360"/>
      </w:pPr>
      <w:r>
        <w:t xml:space="preserve">- Each machine costs </w:t>
      </w:r>
      <w:r>
        <w:rPr>
          <w:b/>
          <w:bCs/>
        </w:rPr>
        <w:t xml:space="preserve">$2,860</w:t>
      </w:r>
      <w:r>
        <w:t xml:space="preserve"> to purchase and install.</w:t>
      </w:r>
    </w:p>
    <w:p>
      <w:pPr>
        <w:ind w:left="360"/>
      </w:pPr>
      <w:r>
        <w:t xml:space="preserve">- A single play (one button press) takes, on average, </w:t>
      </w:r>
      <w:r>
        <w:rPr>
          <w:b/>
          <w:bCs/>
        </w:rPr>
        <w:t xml:space="preserve">17.9 seconds</w:t>
      </w:r>
      <w:r>
        <w:t xml:space="preserve">.</w:t>
      </w:r>
    </w:p>
    <w:p>
      <w:pPr>
        <w:ind w:left="360"/>
      </w:pPr>
      <w:r>
        <w:t xml:space="preserve">- On a </w:t>
      </w:r>
      <w:r>
        <w:rPr>
          <w:b/>
          <w:bCs/>
        </w:rPr>
        <w:t xml:space="preserve">losing</w:t>
      </w:r>
      <w:r>
        <w:t xml:space="preserve"> play, the house keeps 65% of the amount bet as immediate revenue; the remaining 35% is added to that machine's running jackpot pool — prize money that grows over time until a single winner eventually takes the whole accumulated amount — to be paid out later to a jackpot winner — not modeled in this case (</w:t>
      </w:r>
      <w:r>
        <w:rPr>
          <w:b/>
          <w:bCs/>
        </w:rPr>
        <w:t xml:space="preserve">SEE APPENDIX E, Modeling Assumptions</w:t>
      </w:r>
      <w:r>
        <w:t xml:space="preserve">).</w:t>
      </w:r>
    </w:p>
    <w:p>
      <w:pPr>
        <w:ind w:left="360"/>
      </w:pPr>
      <w:r>
        <w:t xml:space="preserve">- On a </w:t>
      </w:r>
      <w:r>
        <w:rPr>
          <w:b/>
          <w:bCs/>
        </w:rPr>
        <w:t xml:space="preserve">winning</w:t>
      </w:r>
      <w:r>
        <w:t xml:space="preserve"> play, the player's bet is returned and they are paid an additional amount equal to their bet (e.g., a winning $1.50 play returns the $1.50 bet plus an extra $1.50).</w:t>
      </w:r>
    </w:p>
    <w:p>
      <w:pPr>
        <w:ind w:left="360"/>
      </w:pPr>
      <w:r>
        <w:t xml:space="preserve">- Each machine also carries three separate jackpots — a $15.00 jackpot, a $25.00 jackpot, and a "complete" jackpot equal to the machine's full accumulated pool — each won at long, fixed odds. These jackpots are </w:t>
      </w:r>
      <w:r>
        <w:rPr>
          <w:b/>
          <w:bCs/>
        </w:rPr>
        <w:t xml:space="preserve">not</w:t>
      </w:r>
      <w:r>
        <w:t xml:space="preserve"> part of this case's weekly profit model (Appendix E).</w:t>
      </w:r>
    </w:p>
    <w:p>
      <w:r>
        <w:rPr>
          <w:b/>
          <w:bCs/>
        </w:rPr>
        <w:t xml:space="preserve">Frequency of betting amount per play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Bet amount</w:t>
            </w:r>
          </w:p>
        </w:tc>
        <w:tc>
          <w:tcPr>
            <w:tcW w:type="dxa" w:w="4500"/>
            <w:shd w:fill="DDDDDD" w:val="clear"/>
          </w:tcPr>
          <w:p>
            <w:r>
              <w:t xml:space="preserve">Frequency of this bet</w:t>
            </w:r>
          </w:p>
        </w:tc>
      </w:tr>
      <w:tr>
        <w:tc>
          <w:tcPr>
            <w:tcW w:type="dxa" w:w="4500"/>
          </w:tcPr>
          <w:p>
            <w:r>
              <w:t xml:space="preserve">$0.50</w:t>
            </w:r>
          </w:p>
        </w:tc>
        <w:tc>
          <w:tcPr>
            <w:tcW w:type="dxa" w:w="4500"/>
          </w:tcPr>
          <w:p>
            <w:r>
              <w:t xml:space="preserve">48.7%</w:t>
            </w:r>
          </w:p>
        </w:tc>
      </w:tr>
      <w:tr>
        <w:tc>
          <w:tcPr>
            <w:tcW w:type="dxa" w:w="4500"/>
          </w:tcPr>
          <w:p>
            <w:r>
              <w:t xml:space="preserve">$1.00</w:t>
            </w:r>
          </w:p>
        </w:tc>
        <w:tc>
          <w:tcPr>
            <w:tcW w:type="dxa" w:w="4500"/>
          </w:tcPr>
          <w:p>
            <w:r>
              <w:t xml:space="preserve">25.6%</w:t>
            </w:r>
          </w:p>
        </w:tc>
      </w:tr>
      <w:tr>
        <w:tc>
          <w:tcPr>
            <w:tcW w:type="dxa" w:w="4500"/>
          </w:tcPr>
          <w:p>
            <w:r>
              <w:t xml:space="preserve">$1.50</w:t>
            </w:r>
          </w:p>
        </w:tc>
        <w:tc>
          <w:tcPr>
            <w:tcW w:type="dxa" w:w="4500"/>
          </w:tcPr>
          <w:p>
            <w:r>
              <w:t xml:space="preserve">15.3%</w:t>
            </w:r>
          </w:p>
        </w:tc>
      </w:tr>
      <w:tr>
        <w:tc>
          <w:tcPr>
            <w:tcW w:type="dxa" w:w="4500"/>
          </w:tcPr>
          <w:p>
            <w:r>
              <w:t xml:space="preserve">$2.50</w:t>
            </w:r>
          </w:p>
        </w:tc>
        <w:tc>
          <w:tcPr>
            <w:tcW w:type="dxa" w:w="4500"/>
          </w:tcPr>
          <w:p>
            <w:r>
              <w:t xml:space="preserve">10.4%</w:t>
            </w:r>
          </w:p>
        </w:tc>
      </w:tr>
    </w:tbl>
    <w:p/>
    <w:p>
      <w:r>
        <w:rPr>
          <w:b/>
          <w:bCs/>
        </w:rPr>
        <w:t xml:space="preserve">Odds of winning per play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Outcome</w:t>
            </w:r>
          </w:p>
        </w:tc>
        <w:tc>
          <w:tcPr>
            <w:tcW w:type="dxa" w:w="4500"/>
            <w:shd w:fill="DDDDDD" w:val="clear"/>
          </w:tcPr>
          <w:p>
            <w:r>
              <w:t xml:space="preserve">Odds</w:t>
            </w:r>
          </w:p>
        </w:tc>
      </w:tr>
      <w:tr>
        <w:tc>
          <w:tcPr>
            <w:tcW w:type="dxa" w:w="4500"/>
          </w:tcPr>
          <w:p>
            <w:r>
              <w:t xml:space="preserve">$0.50 bet wins</w:t>
            </w:r>
          </w:p>
        </w:tc>
        <w:tc>
          <w:tcPr>
            <w:tcW w:type="dxa" w:w="4500"/>
          </w:tcPr>
          <w:p>
            <w:r>
              <w:t xml:space="preserve">8 to 1</w:t>
            </w:r>
          </w:p>
        </w:tc>
      </w:tr>
      <w:tr>
        <w:tc>
          <w:tcPr>
            <w:tcW w:type="dxa" w:w="4500"/>
          </w:tcPr>
          <w:p>
            <w:r>
              <w:t xml:space="preserve">$1.00 bet wins</w:t>
            </w:r>
          </w:p>
        </w:tc>
        <w:tc>
          <w:tcPr>
            <w:tcW w:type="dxa" w:w="4500"/>
          </w:tcPr>
          <w:p>
            <w:r>
              <w:t xml:space="preserve">15 to 1</w:t>
            </w:r>
          </w:p>
        </w:tc>
      </w:tr>
      <w:tr>
        <w:tc>
          <w:tcPr>
            <w:tcW w:type="dxa" w:w="4500"/>
          </w:tcPr>
          <w:p>
            <w:r>
              <w:t xml:space="preserve">$1.50 bet wins</w:t>
            </w:r>
          </w:p>
        </w:tc>
        <w:tc>
          <w:tcPr>
            <w:tcW w:type="dxa" w:w="4500"/>
          </w:tcPr>
          <w:p>
            <w:r>
              <w:t xml:space="preserve">25 to 1</w:t>
            </w:r>
          </w:p>
        </w:tc>
      </w:tr>
      <w:tr>
        <w:tc>
          <w:tcPr>
            <w:tcW w:type="dxa" w:w="4500"/>
          </w:tcPr>
          <w:p>
            <w:r>
              <w:t xml:space="preserve">$2.50 bet wins</w:t>
            </w:r>
          </w:p>
        </w:tc>
        <w:tc>
          <w:tcPr>
            <w:tcW w:type="dxa" w:w="4500"/>
          </w:tcPr>
          <w:p>
            <w:r>
              <w:t xml:space="preserve">50 to 1</w:t>
            </w:r>
          </w:p>
        </w:tc>
      </w:tr>
      <w:tr>
        <w:tc>
          <w:tcPr>
            <w:tcW w:type="dxa" w:w="4500"/>
          </w:tcPr>
          <w:p>
            <w:r>
              <w:t xml:space="preserve">Jackpot A ($15.00)</w:t>
            </w:r>
          </w:p>
        </w:tc>
        <w:tc>
          <w:tcPr>
            <w:tcW w:type="dxa" w:w="4500"/>
          </w:tcPr>
          <w:p>
            <w:r>
              <w:t xml:space="preserve">125 to 1</w:t>
            </w:r>
          </w:p>
        </w:tc>
      </w:tr>
      <w:tr>
        <w:tc>
          <w:tcPr>
            <w:tcW w:type="dxa" w:w="4500"/>
          </w:tcPr>
          <w:p>
            <w:r>
              <w:t xml:space="preserve">Jackpot B ($25.00)</w:t>
            </w:r>
          </w:p>
        </w:tc>
        <w:tc>
          <w:tcPr>
            <w:tcW w:type="dxa" w:w="4500"/>
          </w:tcPr>
          <w:p>
            <w:r>
              <w:t xml:space="preserve">175 to 1</w:t>
            </w:r>
          </w:p>
        </w:tc>
      </w:tr>
      <w:tr>
        <w:tc>
          <w:tcPr>
            <w:tcW w:type="dxa" w:w="4500"/>
          </w:tcPr>
          <w:p>
            <w:r>
              <w:t xml:space="preserve">Total Jackpot</w:t>
            </w:r>
          </w:p>
        </w:tc>
        <w:tc>
          <w:tcPr>
            <w:tcW w:type="dxa" w:w="4500"/>
          </w:tcPr>
          <w:p>
            <w:r>
              <w:t xml:space="preserve">500 to 1</w:t>
            </w:r>
          </w:p>
        </w:tc>
      </w:tr>
    </w:tbl>
    <w:p/>
    <w:p>
      <w:r>
        <w:rPr>
          <w:i/>
          <w:iCs/>
        </w:rPr>
        <w:t xml:space="preserve">Reading "X to 1" odds: for every 1 winning outcome, there are X losing outcomes, out of X + 1 total outcomes — so odds of 8 to 1 mean a win probability of 1 divided by (8 + 1).</w:t>
      </w:r>
    </w:p>
    <w:p>
      <w:pPr>
        <w:pStyle w:val="Heading2"/>
        <w:spacing w:after="120" w:before="240"/>
      </w:pPr>
      <w:r>
        <w:t xml:space="preserve">Appendix C: Player Traffic By Time Of Day</w:t>
      </w:r>
    </w:p>
    <w:p>
      <w:r>
        <w:t xml:space="preserve">Hour-by-hour traffic from a comparable existing room at another Landmark-family property, tracked separately for weekdays (Monday–Thursday) and weekends (Friday–Sunday), in four 6-hour blocks per day.</w:t>
      </w:r>
    </w:p>
    <w:p>
      <w:r>
        <w:rPr>
          <w:b/>
          <w:bCs/>
        </w:rPr>
        <w:t xml:space="preserve">Weekday (Monday – Thursday)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Time block</w:t>
            </w:r>
          </w:p>
        </w:tc>
        <w:tc>
          <w:tcPr>
            <w:tcW w:type="dxa" w:w="3000"/>
            <w:shd w:fill="DDDDDD" w:val="clear"/>
          </w:tcPr>
          <w:p>
            <w:r>
              <w:t xml:space="preserve">Indigo — avg. players seated at a table</w:t>
            </w:r>
          </w:p>
        </w:tc>
        <w:tc>
          <w:tcPr>
            <w:tcW w:type="dxa" w:w="3000"/>
            <w:shd w:fill="DDDDDD" w:val="clear"/>
          </w:tcPr>
          <w:p>
            <w:r>
              <w:t xml:space="preserve">Video machines — % of machines in use</w:t>
            </w:r>
          </w:p>
        </w:tc>
      </w:tr>
      <w:tr>
        <w:tc>
          <w:tcPr>
            <w:tcW w:type="dxa" w:w="3000"/>
          </w:tcPr>
          <w:p>
            <w:r>
              <w:t xml:space="preserve">04:00 – 10:00</w:t>
            </w:r>
          </w:p>
        </w:tc>
        <w:tc>
          <w:tcPr>
            <w:tcW w:type="dxa" w:w="3000"/>
          </w:tcPr>
          <w:p>
            <w:r>
              <w:t xml:space="preserve">2.2</w:t>
            </w:r>
          </w:p>
        </w:tc>
        <w:tc>
          <w:tcPr>
            <w:tcW w:type="dxa" w:w="3000"/>
          </w:tcPr>
          <w:p>
            <w:r>
              <w:t xml:space="preserve">18.6%</w:t>
            </w:r>
          </w:p>
        </w:tc>
      </w:tr>
      <w:tr>
        <w:tc>
          <w:tcPr>
            <w:tcW w:type="dxa" w:w="3000"/>
          </w:tcPr>
          <w:p>
            <w:r>
              <w:t xml:space="preserve">10:00 – 16:00</w:t>
            </w:r>
          </w:p>
        </w:tc>
        <w:tc>
          <w:tcPr>
            <w:tcW w:type="dxa" w:w="3000"/>
          </w:tcPr>
          <w:p>
            <w:r>
              <w:t xml:space="preserve">3.1</w:t>
            </w:r>
          </w:p>
        </w:tc>
        <w:tc>
          <w:tcPr>
            <w:tcW w:type="dxa" w:w="3000"/>
          </w:tcPr>
          <w:p>
            <w:r>
              <w:t xml:space="preserve">34.4%</w:t>
            </w:r>
          </w:p>
        </w:tc>
      </w:tr>
      <w:tr>
        <w:tc>
          <w:tcPr>
            <w:tcW w:type="dxa" w:w="3000"/>
          </w:tcPr>
          <w:p>
            <w:r>
              <w:t xml:space="preserve">16:00 – 22:00</w:t>
            </w:r>
          </w:p>
        </w:tc>
        <w:tc>
          <w:tcPr>
            <w:tcW w:type="dxa" w:w="3000"/>
          </w:tcPr>
          <w:p>
            <w:r>
              <w:t xml:space="preserve">5.7</w:t>
            </w:r>
          </w:p>
        </w:tc>
        <w:tc>
          <w:tcPr>
            <w:tcW w:type="dxa" w:w="3000"/>
          </w:tcPr>
          <w:p>
            <w:r>
              <w:t xml:space="preserve">56.1%</w:t>
            </w:r>
          </w:p>
        </w:tc>
      </w:tr>
      <w:tr>
        <w:tc>
          <w:tcPr>
            <w:tcW w:type="dxa" w:w="3000"/>
          </w:tcPr>
          <w:p>
            <w:r>
              <w:t xml:space="preserve">22:00 – 04:00</w:t>
            </w:r>
          </w:p>
        </w:tc>
        <w:tc>
          <w:tcPr>
            <w:tcW w:type="dxa" w:w="3000"/>
          </w:tcPr>
          <w:p>
            <w:r>
              <w:t xml:space="preserve">5.2</w:t>
            </w:r>
          </w:p>
        </w:tc>
        <w:tc>
          <w:tcPr>
            <w:tcW w:type="dxa" w:w="3000"/>
          </w:tcPr>
          <w:p>
            <w:r>
              <w:t xml:space="preserve">67.9%</w:t>
            </w:r>
          </w:p>
        </w:tc>
      </w:tr>
    </w:tbl>
    <w:p/>
    <w:p>
      <w:r>
        <w:rPr>
          <w:b/>
          <w:bCs/>
        </w:rPr>
        <w:t xml:space="preserve">Weekend (Friday – Sunday)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Time block</w:t>
            </w:r>
          </w:p>
        </w:tc>
        <w:tc>
          <w:tcPr>
            <w:tcW w:type="dxa" w:w="3000"/>
            <w:shd w:fill="DDDDDD" w:val="clear"/>
          </w:tcPr>
          <w:p>
            <w:r>
              <w:t xml:space="preserve">Indigo — avg. players seated at a table</w:t>
            </w:r>
          </w:p>
        </w:tc>
        <w:tc>
          <w:tcPr>
            <w:tcW w:type="dxa" w:w="3000"/>
            <w:shd w:fill="DDDDDD" w:val="clear"/>
          </w:tcPr>
          <w:p>
            <w:r>
              <w:t xml:space="preserve">Video machines — % of machines in use</w:t>
            </w:r>
          </w:p>
        </w:tc>
      </w:tr>
      <w:tr>
        <w:tc>
          <w:tcPr>
            <w:tcW w:type="dxa" w:w="3000"/>
          </w:tcPr>
          <w:p>
            <w:r>
              <w:t xml:space="preserve">04:00 – 10:00</w:t>
            </w:r>
          </w:p>
        </w:tc>
        <w:tc>
          <w:tcPr>
            <w:tcW w:type="dxa" w:w="3000"/>
          </w:tcPr>
          <w:p>
            <w:r>
              <w:t xml:space="preserve">3.5</w:t>
            </w:r>
          </w:p>
        </w:tc>
        <w:tc>
          <w:tcPr>
            <w:tcW w:type="dxa" w:w="3000"/>
          </w:tcPr>
          <w:p>
            <w:r>
              <w:t xml:space="preserve">31.4%</w:t>
            </w:r>
          </w:p>
        </w:tc>
      </w:tr>
      <w:tr>
        <w:tc>
          <w:tcPr>
            <w:tcW w:type="dxa" w:w="3000"/>
          </w:tcPr>
          <w:p>
            <w:r>
              <w:t xml:space="preserve">10:00 – 16:00</w:t>
            </w:r>
          </w:p>
        </w:tc>
        <w:tc>
          <w:tcPr>
            <w:tcW w:type="dxa" w:w="3000"/>
          </w:tcPr>
          <w:p>
            <w:r>
              <w:t xml:space="preserve">4.9</w:t>
            </w:r>
          </w:p>
        </w:tc>
        <w:tc>
          <w:tcPr>
            <w:tcW w:type="dxa" w:w="3000"/>
          </w:tcPr>
          <w:p>
            <w:r>
              <w:t xml:space="preserve">54.8%</w:t>
            </w:r>
          </w:p>
        </w:tc>
      </w:tr>
      <w:tr>
        <w:tc>
          <w:tcPr>
            <w:tcW w:type="dxa" w:w="3000"/>
          </w:tcPr>
          <w:p>
            <w:r>
              <w:t xml:space="preserve">16:00 – 22:00</w:t>
            </w:r>
          </w:p>
        </w:tc>
        <w:tc>
          <w:tcPr>
            <w:tcW w:type="dxa" w:w="3000"/>
          </w:tcPr>
          <w:p>
            <w:r>
              <w:t xml:space="preserve">6.9</w:t>
            </w:r>
          </w:p>
        </w:tc>
        <w:tc>
          <w:tcPr>
            <w:tcW w:type="dxa" w:w="3000"/>
          </w:tcPr>
          <w:p>
            <w:r>
              <w:t xml:space="preserve">78.9%</w:t>
            </w:r>
          </w:p>
        </w:tc>
      </w:tr>
      <w:tr>
        <w:tc>
          <w:tcPr>
            <w:tcW w:type="dxa" w:w="3000"/>
          </w:tcPr>
          <w:p>
            <w:r>
              <w:t xml:space="preserve">22:00 – 04:00</w:t>
            </w:r>
          </w:p>
        </w:tc>
        <w:tc>
          <w:tcPr>
            <w:tcW w:type="dxa" w:w="3000"/>
          </w:tcPr>
          <w:p>
            <w:r>
              <w:t xml:space="preserve">6.7</w:t>
            </w:r>
          </w:p>
        </w:tc>
        <w:tc>
          <w:tcPr>
            <w:tcW w:type="dxa" w:w="3000"/>
          </w:tcPr>
          <w:p>
            <w:r>
              <w:t xml:space="preserve">85.2%</w:t>
            </w:r>
          </w:p>
        </w:tc>
      </w:tr>
    </w:tbl>
    <w:p/>
    <w:p>
      <w:r>
        <w:rPr>
          <w:i/>
          <w:iCs/>
        </w:rPr>
        <w:t xml:space="preserve">Use the "avg. players seated" figure to decide which of Appendix A's three player-count tiers applies to a given time block (round to the nearest whole number of seated players). Every time block in both tables shows meaningfully higher traffic in the 16:00–04:00 window than in the 04:00–16:00 window, on both weekdays and weekends.</w:t>
      </w:r>
    </w:p>
    <w:p>
      <w:pPr>
        <w:pStyle w:val="Heading2"/>
        <w:spacing w:after="120" w:before="240"/>
      </w:pPr>
      <w:r>
        <w:t xml:space="preserve">Appendix D: Beverage Revenue By Game Type And Time Of Day</w:t>
      </w:r>
    </w:p>
    <w:p>
      <w:r>
        <w:t xml:space="preserve">From the same comparable room, average beverage revenue </w:t>
      </w:r>
      <w:r>
        <w:rPr>
          <w:b/>
          <w:bCs/>
        </w:rPr>
        <w:t xml:space="preserve">per player</w:t>
      </w:r>
      <w:r>
        <w:t xml:space="preserve">, by game type and time block. Provided as additional context for your pitch — it is not required to answer Mr. Paseronopolis's profit question, and you should decide for yourself whether it belongs in your write-up.</w:t>
      </w:r>
    </w:p>
    <w:p>
      <w:r>
        <w:rPr>
          <w:b/>
          <w:bCs/>
        </w:rPr>
        <w:t xml:space="preserve">Weekday (Monday – Thursday)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Time block</w:t>
            </w:r>
          </w:p>
        </w:tc>
        <w:tc>
          <w:tcPr>
            <w:tcW w:type="dxa" w:w="3000"/>
            <w:shd w:fill="DDDDDD" w:val="clear"/>
          </w:tcPr>
          <w:p>
            <w:r>
              <w:t xml:space="preserve">Indigo — avg. beverage revenue per player</w:t>
            </w:r>
          </w:p>
        </w:tc>
        <w:tc>
          <w:tcPr>
            <w:tcW w:type="dxa" w:w="3000"/>
            <w:shd w:fill="DDDDDD" w:val="clear"/>
          </w:tcPr>
          <w:p>
            <w:r>
              <w:t xml:space="preserve">Video machines — avg. beverage revenue per player</w:t>
            </w:r>
          </w:p>
        </w:tc>
      </w:tr>
      <w:tr>
        <w:tc>
          <w:tcPr>
            <w:tcW w:type="dxa" w:w="3000"/>
          </w:tcPr>
          <w:p>
            <w:r>
              <w:t xml:space="preserve">04:00 – 10:00</w:t>
            </w:r>
          </w:p>
        </w:tc>
        <w:tc>
          <w:tcPr>
            <w:tcW w:type="dxa" w:w="3000"/>
          </w:tcPr>
          <w:p>
            <w:r>
              <w:t xml:space="preserve">$7.68</w:t>
            </w:r>
          </w:p>
        </w:tc>
        <w:tc>
          <w:tcPr>
            <w:tcW w:type="dxa" w:w="3000"/>
          </w:tcPr>
          <w:p>
            <w:r>
              <w:t xml:space="preserve">$2.19</w:t>
            </w:r>
          </w:p>
        </w:tc>
      </w:tr>
      <w:tr>
        <w:tc>
          <w:tcPr>
            <w:tcW w:type="dxa" w:w="3000"/>
          </w:tcPr>
          <w:p>
            <w:r>
              <w:t xml:space="preserve">10:00 – 16:00</w:t>
            </w:r>
          </w:p>
        </w:tc>
        <w:tc>
          <w:tcPr>
            <w:tcW w:type="dxa" w:w="3000"/>
          </w:tcPr>
          <w:p>
            <w:r>
              <w:t xml:space="preserve">$8.95</w:t>
            </w:r>
          </w:p>
        </w:tc>
        <w:tc>
          <w:tcPr>
            <w:tcW w:type="dxa" w:w="3000"/>
          </w:tcPr>
          <w:p>
            <w:r>
              <w:t xml:space="preserve">$3.28</w:t>
            </w:r>
          </w:p>
        </w:tc>
      </w:tr>
      <w:tr>
        <w:tc>
          <w:tcPr>
            <w:tcW w:type="dxa" w:w="3000"/>
          </w:tcPr>
          <w:p>
            <w:r>
              <w:t xml:space="preserve">16:00 – 22:00</w:t>
            </w:r>
          </w:p>
        </w:tc>
        <w:tc>
          <w:tcPr>
            <w:tcW w:type="dxa" w:w="3000"/>
          </w:tcPr>
          <w:p>
            <w:r>
              <w:t xml:space="preserve">$17.89</w:t>
            </w:r>
          </w:p>
        </w:tc>
        <w:tc>
          <w:tcPr>
            <w:tcW w:type="dxa" w:w="3000"/>
          </w:tcPr>
          <w:p>
            <w:r>
              <w:t xml:space="preserve">$4.15</w:t>
            </w:r>
          </w:p>
        </w:tc>
      </w:tr>
      <w:tr>
        <w:tc>
          <w:tcPr>
            <w:tcW w:type="dxa" w:w="3000"/>
          </w:tcPr>
          <w:p>
            <w:r>
              <w:t xml:space="preserve">22:00 – 04:00</w:t>
            </w:r>
          </w:p>
        </w:tc>
        <w:tc>
          <w:tcPr>
            <w:tcW w:type="dxa" w:w="3000"/>
          </w:tcPr>
          <w:p>
            <w:r>
              <w:t xml:space="preserve">$19.38</w:t>
            </w:r>
          </w:p>
        </w:tc>
        <w:tc>
          <w:tcPr>
            <w:tcW w:type="dxa" w:w="3000"/>
          </w:tcPr>
          <w:p>
            <w:r>
              <w:t xml:space="preserve">$6.23</w:t>
            </w:r>
          </w:p>
        </w:tc>
      </w:tr>
    </w:tbl>
    <w:p/>
    <w:p>
      <w:r>
        <w:rPr>
          <w:b/>
          <w:bCs/>
        </w:rPr>
        <w:t xml:space="preserve">Weekend (Friday – Sunday)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Time block</w:t>
            </w:r>
          </w:p>
        </w:tc>
        <w:tc>
          <w:tcPr>
            <w:tcW w:type="dxa" w:w="3000"/>
            <w:shd w:fill="DDDDDD" w:val="clear"/>
          </w:tcPr>
          <w:p>
            <w:r>
              <w:t xml:space="preserve">Indigo — avg. beverage revenue per player</w:t>
            </w:r>
          </w:p>
        </w:tc>
        <w:tc>
          <w:tcPr>
            <w:tcW w:type="dxa" w:w="3000"/>
            <w:shd w:fill="DDDDDD" w:val="clear"/>
          </w:tcPr>
          <w:p>
            <w:r>
              <w:t xml:space="preserve">Video machines — avg. beverage revenue per player</w:t>
            </w:r>
          </w:p>
        </w:tc>
      </w:tr>
      <w:tr>
        <w:tc>
          <w:tcPr>
            <w:tcW w:type="dxa" w:w="3000"/>
          </w:tcPr>
          <w:p>
            <w:r>
              <w:t xml:space="preserve">04:00 – 10:00</w:t>
            </w:r>
          </w:p>
        </w:tc>
        <w:tc>
          <w:tcPr>
            <w:tcW w:type="dxa" w:w="3000"/>
          </w:tcPr>
          <w:p>
            <w:r>
              <w:t xml:space="preserve">$6.21</w:t>
            </w:r>
          </w:p>
        </w:tc>
        <w:tc>
          <w:tcPr>
            <w:tcW w:type="dxa" w:w="3000"/>
          </w:tcPr>
          <w:p>
            <w:r>
              <w:t xml:space="preserve">$3.13</w:t>
            </w:r>
          </w:p>
        </w:tc>
      </w:tr>
      <w:tr>
        <w:tc>
          <w:tcPr>
            <w:tcW w:type="dxa" w:w="3000"/>
          </w:tcPr>
          <w:p>
            <w:r>
              <w:t xml:space="preserve">10:00 – 16:00</w:t>
            </w:r>
          </w:p>
        </w:tc>
        <w:tc>
          <w:tcPr>
            <w:tcW w:type="dxa" w:w="3000"/>
          </w:tcPr>
          <w:p>
            <w:r>
              <w:t xml:space="preserve">$8.94</w:t>
            </w:r>
          </w:p>
        </w:tc>
        <w:tc>
          <w:tcPr>
            <w:tcW w:type="dxa" w:w="3000"/>
          </w:tcPr>
          <w:p>
            <w:r>
              <w:t xml:space="preserve">$3.56</w:t>
            </w:r>
          </w:p>
        </w:tc>
      </w:tr>
      <w:tr>
        <w:tc>
          <w:tcPr>
            <w:tcW w:type="dxa" w:w="3000"/>
          </w:tcPr>
          <w:p>
            <w:r>
              <w:t xml:space="preserve">16:00 – 22:00</w:t>
            </w:r>
          </w:p>
        </w:tc>
        <w:tc>
          <w:tcPr>
            <w:tcW w:type="dxa" w:w="3000"/>
          </w:tcPr>
          <w:p>
            <w:r>
              <w:t xml:space="preserve">$24.83</w:t>
            </w:r>
          </w:p>
        </w:tc>
        <w:tc>
          <w:tcPr>
            <w:tcW w:type="dxa" w:w="3000"/>
          </w:tcPr>
          <w:p>
            <w:r>
              <w:t xml:space="preserve">$6.83</w:t>
            </w:r>
          </w:p>
        </w:tc>
      </w:tr>
      <w:tr>
        <w:tc>
          <w:tcPr>
            <w:tcW w:type="dxa" w:w="3000"/>
          </w:tcPr>
          <w:p>
            <w:r>
              <w:t xml:space="preserve">22:00 – 04:00</w:t>
            </w:r>
          </w:p>
        </w:tc>
        <w:tc>
          <w:tcPr>
            <w:tcW w:type="dxa" w:w="3000"/>
          </w:tcPr>
          <w:p>
            <w:r>
              <w:t xml:space="preserve">$29.54</w:t>
            </w:r>
          </w:p>
        </w:tc>
        <w:tc>
          <w:tcPr>
            <w:tcW w:type="dxa" w:w="3000"/>
          </w:tcPr>
          <w:p>
            <w:r>
              <w:t xml:space="preserve">$8.17</w:t>
            </w:r>
          </w:p>
        </w:tc>
      </w:tr>
    </w:tbl>
    <w:p/>
    <w:p>
      <w:pPr>
        <w:pStyle w:val="Heading2"/>
        <w:spacing w:after="120" w:before="240"/>
      </w:pPr>
      <w:r>
        <w:t xml:space="preserve">Appendix E: Modeling Assumptions</w:t>
      </w:r>
    </w:p>
    <w:p>
      <w:pPr>
        <w:ind w:left="480"/>
      </w:pPr>
      <w:r>
        <w:t xml:space="preserve">These are stated scenario choices made explicit for this case, not figures found in Appendix A–D.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w:t>
            </w:r>
          </w:p>
        </w:tc>
        <w:tc>
          <w:tcPr>
            <w:tcW w:type="dxa" w:w="3000"/>
            <w:shd w:fill="DDDDDD" w:val="clear"/>
          </w:tcPr>
          <w:p>
            <w:r>
              <w:t xml:space="preserve">Assumption</w:t>
            </w:r>
          </w:p>
        </w:tc>
        <w:tc>
          <w:tcPr>
            <w:tcW w:type="dxa" w:w="3000"/>
            <w:shd w:fill="DDDDDD" w:val="clear"/>
          </w:tcPr>
          <w:p>
            <w:r>
              <w:t xml:space="preserve">Basis</w:t>
            </w:r>
          </w:p>
        </w:tc>
      </w:tr>
      <w:tr>
        <w:tc>
          <w:tcPr>
            <w:tcW w:type="dxa" w:w="3000"/>
          </w:tcPr>
          <w:p>
            <w:r>
              <w:t xml:space="preserve">MA1</w:t>
            </w:r>
          </w:p>
        </w:tc>
        <w:tc>
          <w:tcPr>
            <w:tcW w:type="dxa" w:w="3000"/>
          </w:tcPr>
          <w:p>
            <w:r>
              <w:t xml:space="preserve">The new south lobby room operates only during its </w:t>
            </w:r>
            <w:r>
              <w:rPr>
                <w:b/>
                <w:bCs/>
              </w:rPr>
              <w:t xml:space="preserve">peak traffic window, 16:00–04:00 daily</w:t>
            </w:r>
            <w:r>
              <w:t xml:space="preserve"> (the two highest-traffic time blocks in Appendix C, both weekday and weekend), not around the clock.</w:t>
            </w:r>
          </w:p>
        </w:tc>
        <w:tc>
          <w:tcPr>
            <w:tcW w:type="dxa" w:w="3000"/>
          </w:tcPr>
          <w:p>
            <w:r>
              <w:t xml:space="preserve">The room is brand-new, with no existing customer base of its own. Appendix C's own traffic numbers show the 04:00–16:00 window running at roughly a third to half the volume of the 16:00–04:00 window in every case — a new room is more plausibly opened on the schedule that already proves out, not staffed at full cost through its weakest hours from day one.</w:t>
            </w:r>
          </w:p>
        </w:tc>
      </w:tr>
      <w:tr>
        <w:tc>
          <w:tcPr>
            <w:tcW w:type="dxa" w:w="3000"/>
          </w:tcPr>
          <w:p>
            <w:r>
              <w:t xml:space="preserve">MA2</w:t>
            </w:r>
          </w:p>
        </w:tc>
        <w:tc>
          <w:tcPr>
            <w:tcW w:type="dxa" w:w="3000"/>
          </w:tcPr>
          <w:p>
            <w:r>
              <w:t xml:space="preserve">The three jackpots described in Appendix B are excluded from this case's weekly profit model.</w:t>
            </w:r>
          </w:p>
        </w:tc>
        <w:tc>
          <w:tcPr>
            <w:tcW w:type="dxa" w:w="3000"/>
          </w:tcPr>
          <w:p>
            <w:r>
              <w:t xml:space="preserve">A single week is far too short a window to estimate how often a jackpot at 125-to-1, 175-to-1, or 500-to-1 odds actually pays out — modeling it honestly needs a much longer time horizon than one week. The 65%/35% split that funds the jackpots is stated in full in Appendix B; only the payout side is left out.</w:t>
            </w:r>
          </w:p>
        </w:tc>
      </w:tr>
      <w:tr>
        <w:tc>
          <w:tcPr>
            <w:tcW w:type="dxa" w:w="3000"/>
          </w:tcPr>
          <w:p>
            <w:r>
              <w:t xml:space="preserve">MA3</w:t>
            </w:r>
          </w:p>
        </w:tc>
        <w:tc>
          <w:tcPr>
            <w:tcW w:type="dxa" w:w="3000"/>
          </w:tcPr>
          <w:p>
            <w:r>
              <w:t xml:space="preserve">Every table or machine installed in the room is assumed to be staffed and running throughout the hours the room is open (per MA1) — the room is modeled as built out to its stated maximum (4 Indigo tables, or 25 video machines), not a partial build-out (installing and staffing fewer than the room's maximum number of tables or machines).</w:t>
            </w:r>
          </w:p>
        </w:tc>
        <w:tc>
          <w:tcPr>
            <w:tcW w:type="dxa" w:w="3000"/>
          </w:tcPr>
          <w:p>
            <w:r>
              <w:t xml:space="preserve">Appendix A and Appendix B give the room's maximum capacity; no other capacity figure is stated, so the full build-out is the only one the given data supports without inventing a number.</w:t>
            </w:r>
          </w:p>
        </w:tc>
      </w:tr>
    </w:tbl>
    <w:p/>
    <w:p>
      <w:pPr>
        <w:pStyle w:val="Heading2"/>
        <w:spacing w:after="120" w:before="240"/>
      </w:pPr>
      <w:r>
        <w:t xml:space="preserve">Appendix F: Learn More</w:t>
      </w:r>
    </w:p>
    <w:p>
      <w:r>
        <w:t xml:space="preserve">These are optional, real-world resources for Heroes curious about the math and business behind casino gaming beyond what this case requires. None of these are needed to complete the Challenges.</w:t>
      </w:r>
    </w:p>
    <w:p>
      <w:pPr>
        <w:ind w:left="360"/>
      </w:pPr>
      <w:r>
        <w:t xml:space="preserve">- </w:t>
      </w:r>
      <w:hyperlink w:history="1" r:id="rIdtf82iw8yepmw3j9s8yfso">
        <w:r>
          <w:rPr>
            <w:rStyle w:val="Hyperlink"/>
          </w:rPr>
          <w:t xml:space="preserve">Rake (poker) — Wikipedia</w:t>
        </w:r>
      </w:hyperlink>
      <w:r>
        <w:t xml:space="preserve">) — explains what a poker rake is, why cardrooms charge it on a sliding percentage scale, and how it differs from house-banked games like Indigo's card-table format.</w:t>
      </w:r>
    </w:p>
    <w:p>
      <w:pPr>
        <w:ind w:left="360"/>
      </w:pPr>
      <w:r>
        <w:t xml:space="preserve">- </w:t>
      </w:r>
      <w:hyperlink w:history="1" r:id="rIdyrvtdtnhboev3atewohy6">
        <w:r>
          <w:rPr>
            <w:rStyle w:val="Hyperlink"/>
          </w:rPr>
          <w:t xml:space="preserve">Slot machine — Wikipedia</w:t>
        </w:r>
      </w:hyperlink>
      <w:r>
        <w:t xml:space="preserve"> — background on how slot machines set their odds and payout percentages, the same kind of built-in odds Appendix B describes for the video machines.</w:t>
      </w:r>
    </w:p>
    <w:p>
      <w:pPr>
        <w:ind w:left="360"/>
      </w:pPr>
      <w:r>
        <w:t xml:space="preserve">- </w:t>
      </w:r>
      <w:hyperlink w:history="1" r:id="rId15ltaduc9jd7bsnht_tyy">
        <w:r>
          <w:rPr>
            <w:rStyle w:val="Hyperlink"/>
          </w:rPr>
          <w:t xml:space="preserve">Expected value — Wikipedia</w:t>
        </w:r>
      </w:hyperlink>
      <w:r>
        <w:t xml:space="preserve"> — the general math concept behind weighting outcomes by their probability, worked through with a roulette betting example, directly relevant to D1–D3's weighted averages.</w:t>
      </w:r>
    </w:p>
    <w:p>
      <w:pPr>
        <w:ind w:left="360"/>
      </w:pPr>
      <w:r>
        <w:t xml:space="preserve">- </w:t>
      </w:r>
      <w:hyperlink w:history="1" r:id="rIdesgtfq9vieo0lwpdhcjrl">
        <w:r>
          <w:rPr>
            <w:rStyle w:val="Hyperlink"/>
          </w:rPr>
          <w:t xml:space="preserve">Wizard of Odds — House Edge Explained</w:t>
        </w:r>
      </w:hyperlink>
      <w:r>
        <w:t xml:space="preserve"> — a reference table comparing the house edge of different real casino games, useful context for thinking about how Indigo's rake and the video machines' odds compare to games not covered in this case.</w:t>
      </w:r>
    </w:p>
    <w:p>
      <w:pPr>
        <w:pStyle w:val="Heading2"/>
        <w:spacing w:after="120" w:before="240"/>
      </w:pPr>
      <w:r>
        <w:t xml:space="preserve">Appendix G: "How To…" Math Questions To Research</w:t>
      </w:r>
    </w:p>
    <w:p>
      <w:r>
        <w:rPr>
          <w:b/>
          <w:bCs/>
        </w:rPr>
        <w:t xml:space="preserve">Vocabulary</w:t>
      </w:r>
    </w:p>
    <w:p>
      <w:r>
        <w:t xml:space="preserve">Percent · Decimal · Multiplication · Division · Probability · Mean · Bar Graph</w:t>
      </w:r>
    </w:p>
    <w:p>
      <w:r>
        <w:rPr>
          <w:b/>
          <w:bCs/>
        </w:rPr>
        <w:t xml:space="preserve">How to…</w:t>
      </w:r>
    </w:p>
    <w:p>
      <w:pPr>
        <w:ind w:left="360"/>
      </w:pPr>
      <w:r>
        <w:t xml:space="preserve">- How to find the percent of a number</w:t>
      </w:r>
    </w:p>
    <w:p>
      <w:pPr>
        <w:ind w:left="360"/>
      </w:pPr>
      <w:r>
        <w:t xml:space="preserve">- How to convert percents to numbers</w:t>
      </w:r>
    </w:p>
    <w:p>
      <w:pPr>
        <w:ind w:left="360"/>
      </w:pPr>
      <w:r>
        <w:t xml:space="preserve">- How to multiply decimal numbers</w:t>
      </w:r>
    </w:p>
    <w:p>
      <w:pPr>
        <w:ind w:left="360"/>
      </w:pPr>
      <w:r>
        <w:t xml:space="preserve">- How to divide decimal numbers</w:t>
      </w:r>
    </w:p>
    <w:p>
      <w:pPr>
        <w:ind w:left="360"/>
      </w:pPr>
      <w:r>
        <w:t xml:space="preserve">- How to multiply any two numbers</w:t>
      </w:r>
    </w:p>
    <w:p>
      <w:pPr>
        <w:ind w:left="360"/>
      </w:pPr>
      <w:r>
        <w:t xml:space="preserve">- How to divide a multi-digit number by a 2-digit number</w:t>
      </w:r>
    </w:p>
    <w:p>
      <w:pPr>
        <w:ind w:left="360"/>
      </w:pPr>
      <w:r>
        <w:t xml:space="preserve">- How to convert between units of time</w:t>
      </w:r>
    </w:p>
    <w:p>
      <w:pPr>
        <w:ind w:left="360"/>
      </w:pPr>
      <w:r>
        <w:t xml:space="preserve">- How to convert an amount with compound units</w:t>
      </w:r>
    </w:p>
    <w:p>
      <w:pPr>
        <w:ind w:left="360"/>
      </w:pPr>
      <w:r>
        <w:t xml:space="preserve">- How to determine the probability of a single event</w:t>
      </w:r>
    </w:p>
    <w:p>
      <w:pPr>
        <w:ind w:left="360"/>
      </w:pPr>
      <w:r>
        <w:t xml:space="preserve">- How to find the mean of a set of data</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f82iw8yepmw3j9s8yfso" Type="http://schemas.openxmlformats.org/officeDocument/2006/relationships/hyperlink" Target="https://en.wikipedia.org/wiki/Rake_(poker" TargetMode="External"/><Relationship Id="rIdyrvtdtnhboev3atewohy6" Type="http://schemas.openxmlformats.org/officeDocument/2006/relationships/hyperlink" Target="https://en.wikipedia.org/wiki/Slot_machine" TargetMode="External"/><Relationship Id="rId15ltaduc9jd7bsnht_tyy" Type="http://schemas.openxmlformats.org/officeDocument/2006/relationships/hyperlink" Target="https://en.wikipedia.org/wiki/Expected_value" TargetMode="External"/><Relationship Id="rIdesgtfq9vieo0lwpdhcjrl" Type="http://schemas.openxmlformats.org/officeDocument/2006/relationships/hyperlink" Target="https://wizardofodds.com/gambling/house-edg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2026-09-04T05:50:39.752Z</dcterms:created>
  <dcterms:modified xsi:type="dcterms:W3CDTF">2026-09-04T05:50:39.757Z</dcterms:modified>
</cp:coreProperties>
</file>

<file path=docProps/custom.xml><?xml version="1.0" encoding="utf-8"?>
<Properties xmlns="http://schemas.openxmlformats.org/officeDocument/2006/custom-properties" xmlns:vt="http://schemas.openxmlformats.org/officeDocument/2006/docPropsVTypes"/>
</file>