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Deductible Roulette</w:t>
      </w:r>
    </w:p>
    <w:p>
      <w:pPr>
        <w:spacing w:after="240"/>
        <w:jc w:val="center"/>
      </w:pPr>
      <w:r>
        <w:rPr>
          <w:i/>
          <w:iCs/>
          <w:sz w:val="22"/>
          <w:szCs w:val="22"/>
        </w:rPr>
        <w:t xml:space="preserve">MS | Math | Case Study | 2026 | Adventure</w:t>
      </w:r>
    </w:p>
    <w:p>
      <w:pPr>
        <w:pStyle w:val="Heading2"/>
        <w:spacing w:after="120" w:before="240"/>
      </w:pPr>
      <w:r>
        <w:t xml:space="preserve">Overview</w:t>
      </w:r>
    </w:p>
    <w:p>
      <w:r>
        <w:t xml:space="preserve">The laptop screen shows two tabs, side by side, and the cursor has been sitting on the "Confirm Renewal" button for four minutes. Priya Shah's phone buzzes face-down on the kitchen table — the reminder she set herself, the one that just says "POLICY — TONIGHT." She doesn't pick it up.</w:t>
      </w:r>
    </w:p>
    <w:p>
      <w:r>
        <w:t xml:space="preserve">Her pharmacy tech badge is still clipped to her scrub top from the closing shift. Three different store locations this month, none of them reachable by the last bus, all of them reachable only because her car starts every morning. The renewal portal auto-filled her old plan — the same deductible she picked two years ago without really reading it — but this year, for the first time, the portal is showing her a second option right next to it, same coverage, different number, different price, and a little tooltip she has to hover over to even understand what the word means.</w:t>
      </w:r>
    </w:p>
    <w:p>
      <w:r>
        <w:t xml:space="preserve">Her roommate, watching over her shoulder with a bowl of cereal, says the thing everyone says: "Just pick whichever one's safer." Priya doesn't say what she's actually thinking, which is that she has no idea which one that is, or whether "safer" and "cheaper" are even pointing at the same option this time.</w:t>
      </w:r>
    </w:p>
    <w:p>
      <w:r>
        <w:t xml:space="preserve">The countdown banner at the top of the tab reads red. Her thumb hovers over the trackpad, over a button that will lock in one of two numbers for longer than she's planned anything else in her life right now.</w:t>
      </w:r>
    </w:p>
    <w:p>
      <w:pPr>
        <w:pStyle w:val="Heading2"/>
        <w:spacing w:after="120" w:before="240"/>
      </w:pPr>
      <w:r>
        <w:t xml:space="preserve">Background</w:t>
      </w:r>
    </w:p>
    <w:p>
      <w:r>
        <w:t xml:space="preserve">Priya Shah is 24 and has held her own auto policy, in her own name, for two years — the first stretch of her adult life where nobody else is checking the paperwork behind her. She works as a pharmacy technician rotating across three store locations spread across the county; her shift schedule doesn't line up with any bus route that exists, so the job is only possible because the car is reliable. She has committed to keeping this car, and this budget, steady for at least three more years while she saves toward buying a newer one outright — a car payment on top of everything else isn't something her monthly budget can absorb right now.</w:t>
      </w:r>
    </w:p>
    <w:p>
      <w:r>
        <w:t xml:space="preserve">Tonight's renewal portal presents two side-by-side options for her collision and comprehensive coverage (SEE APPENDIX A): </w:t>
      </w:r>
      <w:r>
        <w:rPr>
          <w:b/>
          <w:bCs/>
        </w:rPr>
        <w:t xml:space="preserve">The Guarded Lane</w:t>
      </w:r>
      <w:r>
        <w:t xml:space="preserve">, a lower-deductible policy with a higher monthly premium, and </w:t>
      </w:r>
      <w:r>
        <w:rPr>
          <w:b/>
          <w:bCs/>
        </w:rPr>
        <w:t xml:space="preserve">The Long Shot</w:t>
      </w:r>
      <w:r>
        <w:t xml:space="preserve">, a higher-deductible policy with a lower monthly premium. Every other line of the policy — liability limits, roadside assistance, the car itself — is identical between the two; only the deductible and the premium change. All figures in Appendix A and Appendix B are cited from real published sources (SEE APPENDIX E); Appendix C's figure on repeat claims is, honestly, a stated Modeling Assumption rather than a sourced number — see the Modeling Assumptions section for why. The vocabulary and "how to…" procedures needed to work through those figures are listed in (SEE APPENDIX D).</w:t>
      </w:r>
    </w:p>
    <w:p>
      <w:r>
        <w:t xml:space="preserve">The instinct in the room — her roommate's instinct, and the instinct the portal's own default selection is quietly nudging her toward — is that the lower deductible is the "safer" choice, since it caps what a single bad accident would cost her out of pocket. But a deductible is only ever charged if a claim actually happens, and how likely that is in any given year is itself a real, published number (SEE APPENDIX B), not a gut feeling. Priya has to decide whether the lower-deductible policy's higher guaranteed premium is actually worth paying, once that real probability is weighted against both policies' real costs — over the entire three-year window she has already committed to, not just for one hypothetical bad day.</w:t>
      </w:r>
    </w:p>
    <w:p>
      <w:r>
        <w:t xml:space="preserve">There is a further wrinkle she has read about but never had to apply to herself: drivers who have already filed one at-fault claim are not necessarily just as likely to file a second one as a driver with a clean record (SEE APPENDIX C). Whichever policy wins the math for a clean three-year record might not win the same way for a driver who has already had one claim in the window.</w:t>
      </w:r>
    </w:p>
    <w:p>
      <w:pPr>
        <w:pStyle w:val="Heading2"/>
        <w:spacing w:after="120" w:before="240"/>
      </w:pPr>
      <w:r>
        <w:t xml:space="preserve">Dilemma</w:t>
      </w:r>
    </w:p>
    <w:p>
      <w:r>
        <w:t xml:space="preserve">You are Priya Shah. Do you: A.) Renew with The Guarded Lane — the $500-deductible policy, at the higher monthly premium OR B.) Switch to The Long Shot — the $1,000-deductible policy, at the lower monthly premium</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three-year claim-probability table showing, for each year, the probability of Priya     filing an at-fault collision claim: Year 1's probability (from Appendix B's sourced baseline     claim-frequency figure), Year 2's probability given she is still claim-free entering Year 2     versus Year 2's probability given a claim already occurred in Year 1 (from Appendix C), and     Year 3's probability under both of those same two conditions — with the conditioning stated     in words for every row.     D2. A compound-probability calculation, shown step by step, of the probability that Priya     remains completely claim-free through both Year 1 and Year 2 (still in the "clean" branch     entering Year 3), and the complementary probability that she has had at least one claim by     that point — computed from Appendix B's baseline Year 1/2 figures.     D3. A full three-year expected-cost calculation for each policy: for every year, weight that     year's expected deductible payment by the probability of entering the year claim-free     (baseline rate applies) versus the probability of already having a claim on record (the     elevated rate from Appendix C applies), add each policy's fixed three-year premium total from     Appendix A, and show the arithmetic for every term.     D4. A written breakdown of D3's result: state how much of the winning policy's advantage is     coming from the premium difference (Appendix A) alone, versus how much is coming from the     weighted claim-cost difference — and state whether the recommendation would still hold if     Appendix C's elevated repeat-claim probability were meaningfully higher than the value used.     D5. An original visual display (a bar chart, a probability tree, or equivalent) comparing The     Guarded Lane's three-year total expected cost against The Long Shot's three-year total     expected cost, built from your D3 figures.</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The Renewal Portal's Two Quotes</w:t>
      </w:r>
    </w:p>
    <w:p>
      <w:r>
        <w:t xml:space="preserve">Referenced in Background and Challenge 3 (D1, D3, D4). Every other line of the two quotes — liability limits, roadside assistance, the insured vehicle — is identical; only the deductible and the premium differ.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
            </w:r>
          </w:p>
        </w:tc>
        <w:tc>
          <w:tcPr>
            <w:tcW w:type="dxa" w:w="3000"/>
            <w:shd w:fill="DDDDDD" w:val="clear"/>
          </w:tcPr>
          <w:p>
            <w:r>
              <w:t xml:space="preserve">The Guarded Lane (Option A)</w:t>
            </w:r>
          </w:p>
        </w:tc>
        <w:tc>
          <w:tcPr>
            <w:tcW w:type="dxa" w:w="3000"/>
            <w:shd w:fill="DDDDDD" w:val="clear"/>
          </w:tcPr>
          <w:p>
            <w:r>
              <w:t xml:space="preserve">The Long Shot (Option B)</w:t>
            </w:r>
          </w:p>
        </w:tc>
      </w:tr>
      <w:tr>
        <w:tc>
          <w:tcPr>
            <w:tcW w:type="dxa" w:w="3000"/>
          </w:tcPr>
          <w:p>
            <w:r>
              <w:t xml:space="preserve">Collision / comprehensive deductible</w:t>
            </w:r>
          </w:p>
        </w:tc>
        <w:tc>
          <w:tcPr>
            <w:tcW w:type="dxa" w:w="3000"/>
          </w:tcPr>
          <w:p>
            <w:r>
              <w:t xml:space="preserve">$500</w:t>
            </w:r>
          </w:p>
        </w:tc>
        <w:tc>
          <w:tcPr>
            <w:tcW w:type="dxa" w:w="3000"/>
          </w:tcPr>
          <w:p>
            <w:r>
              <w:t xml:space="preserve">$1,000</w:t>
            </w:r>
          </w:p>
        </w:tc>
      </w:tr>
      <w:tr>
        <w:tc>
          <w:tcPr>
            <w:tcW w:type="dxa" w:w="3000"/>
          </w:tcPr>
          <w:p>
            <w:r>
              <w:t xml:space="preserve">Monthly premium</w:t>
            </w:r>
          </w:p>
        </w:tc>
        <w:tc>
          <w:tcPr>
            <w:tcW w:type="dxa" w:w="3000"/>
          </w:tcPr>
          <w:p>
            <w:r>
              <w:t xml:space="preserve">$219.83 [S1]</w:t>
            </w:r>
          </w:p>
        </w:tc>
        <w:tc>
          <w:tcPr>
            <w:tcW w:type="dxa" w:w="3000"/>
          </w:tcPr>
          <w:p>
            <w:r>
              <w:t xml:space="preserve">$194.67 [S1]</w:t>
            </w:r>
          </w:p>
        </w:tc>
      </w:tr>
      <w:tr>
        <w:tc>
          <w:tcPr>
            <w:tcW w:type="dxa" w:w="3000"/>
          </w:tcPr>
          <w:p>
            <w:r>
              <w:t xml:space="preserve">Annual premium</w:t>
            </w:r>
          </w:p>
        </w:tc>
        <w:tc>
          <w:tcPr>
            <w:tcW w:type="dxa" w:w="3000"/>
          </w:tcPr>
          <w:p>
            <w:r>
              <w:t xml:space="preserve">$2,638 [S1]</w:t>
            </w:r>
          </w:p>
        </w:tc>
        <w:tc>
          <w:tcPr>
            <w:tcW w:type="dxa" w:w="3000"/>
          </w:tcPr>
          <w:p>
            <w:r>
              <w:t xml:space="preserve">$2,336 [S1]</w:t>
            </w:r>
          </w:p>
        </w:tc>
      </w:tr>
      <w:tr>
        <w:tc>
          <w:tcPr>
            <w:tcW w:type="dxa" w:w="3000"/>
          </w:tcPr>
          <w:p>
            <w:r>
              <w:t xml:space="preserve">Three-year premium total</w:t>
            </w:r>
          </w:p>
        </w:tc>
        <w:tc>
          <w:tcPr>
            <w:tcW w:type="dxa" w:w="3000"/>
          </w:tcPr>
          <w:p>
            <w:r>
              <w:t xml:space="preserve">$7,914</w:t>
            </w:r>
          </w:p>
        </w:tc>
        <w:tc>
          <w:tcPr>
            <w:tcW w:type="dxa" w:w="3000"/>
          </w:tcPr>
          <w:p>
            <w:r>
              <w:t xml:space="preserve">$7,008</w:t>
            </w:r>
          </w:p>
        </w:tc>
      </w:tr>
    </w:tbl>
    <w:p/>
    <w:p>
      <w:pPr>
        <w:pStyle w:val="Heading2"/>
        <w:spacing w:after="120" w:before="240"/>
      </w:pPr>
      <w:r>
        <w:t xml:space="preserve">Appendix B — Baseline Collision Claim Data (clean driving record)</w:t>
      </w:r>
    </w:p>
    <w:p>
      <w:r>
        <w:t xml:space="preserve">Referenced in Background and Challenge 3 (D1, D2, D3). Applies to a year in which Priya has not yet filed a claim in this three-year window.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Probability of an at-fault collision claim in a given year, no prior claim in this window</w:t>
            </w:r>
          </w:p>
        </w:tc>
        <w:tc>
          <w:tcPr>
            <w:tcW w:type="dxa" w:w="4500"/>
          </w:tcPr>
          <w:p>
            <w:r>
              <w:t xml:space="preserve">4.9% [S2]</w:t>
            </w:r>
          </w:p>
        </w:tc>
      </w:tr>
      <w:tr>
        <w:tc>
          <w:tcPr>
            <w:tcW w:type="dxa" w:w="4500"/>
          </w:tcPr>
          <w:p>
            <w:r>
              <w:t xml:space="preserve">Average paid amount on a collision claim</w:t>
            </w:r>
          </w:p>
        </w:tc>
        <w:tc>
          <w:tcPr>
            <w:tcW w:type="dxa" w:w="4500"/>
          </w:tcPr>
          <w:p>
            <w:r>
              <w:t xml:space="preserve">$5,992 [S2]</w:t>
            </w:r>
          </w:p>
        </w:tc>
      </w:tr>
      <w:tr>
        <w:tc>
          <w:tcPr>
            <w:tcW w:type="dxa" w:w="4500"/>
          </w:tcPr>
          <w:p>
            <w:r>
              <w:t xml:space="preserve">Probability of a comprehensive claim in a given year (not used in the core calculation — see note)</w:t>
            </w:r>
          </w:p>
        </w:tc>
        <w:tc>
          <w:tcPr>
            <w:tcW w:type="dxa" w:w="4500"/>
          </w:tcPr>
          <w:p>
            <w:r>
              <w:t xml:space="preserve">3.3% [S2]</w:t>
            </w:r>
          </w:p>
        </w:tc>
      </w:tr>
      <w:tr>
        <w:tc>
          <w:tcPr>
            <w:tcW w:type="dxa" w:w="4500"/>
          </w:tcPr>
          <w:p>
            <w:r>
              <w:t xml:space="preserve">Average paid amount on a comprehensive claim (not used in the core calculation — see note)</w:t>
            </w:r>
          </w:p>
        </w:tc>
        <w:tc>
          <w:tcPr>
            <w:tcW w:type="dxa" w:w="4500"/>
          </w:tcPr>
          <w:p>
            <w:r>
              <w:t xml:space="preserve">$2,738 [S2]</w:t>
            </w:r>
          </w:p>
        </w:tc>
      </w:tr>
    </w:tbl>
    <w:p/>
    <w:p>
      <w:r>
        <w:rPr>
          <w:b/>
          <w:bCs/>
        </w:rPr>
        <w:t xml:space="preserve">Modeling note:</w:t>
      </w:r>
      <w:r>
        <w:t xml:space="preserve"> because the average collision claim amount is well above both deductible amounts in Appendix A, this case assumes that whenever a collision claim occurs, Priya pays the full deductible out of pocket (the insurer covers the remainder). The comprehensive-coverage rows are real, sourced figures included for completeness — Priya's policy carries comprehensive coverage too — but the case's math turns only on the collision figures; deciding that the comprehensive rows do not change the answer is part of the filtering work.</w:t>
      </w:r>
    </w:p>
    <w:p>
      <w:pPr>
        <w:pStyle w:val="Heading2"/>
        <w:spacing w:after="120" w:before="240"/>
      </w:pPr>
      <w:r>
        <w:t xml:space="preserve">Appendix C — Repeat-Claim Risk (Modeling Assumption)</w:t>
      </w:r>
    </w:p>
    <w:p>
      <w:r>
        <w:t xml:space="preserve">Referenced in Background and Challenge 3 (D1, D3, D4).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
            </w:r>
          </w:p>
        </w:tc>
        <w:tc>
          <w:tcPr>
            <w:tcW w:type="dxa" w:w="4500"/>
            <w:shd w:fill="DDDDDD" w:val="clear"/>
          </w:tcPr>
          <w:p>
            <w:r>
              <w:t xml:space="preserve">Value</w:t>
            </w:r>
          </w:p>
        </w:tc>
      </w:tr>
      <w:tr>
        <w:tc>
          <w:tcPr>
            <w:tcW w:type="dxa" w:w="4500"/>
          </w:tcPr>
          <w:p>
            <w:r>
              <w:t xml:space="preserve">Probability of a subsequent at-fault collision claim in a year, GIVEN a claim already occurred earlier in this three-year window</w:t>
            </w:r>
          </w:p>
        </w:tc>
        <w:tc>
          <w:tcPr>
            <w:tcW w:type="dxa" w:w="4500"/>
          </w:tcPr>
          <w:p>
            <w:r>
              <w:t xml:space="preserve">20% (MA1)</w:t>
            </w:r>
          </w:p>
        </w:tc>
      </w:tr>
    </w:tbl>
    <w:p/>
    <w:p>
      <w:pPr>
        <w:pStyle w:val="Heading2"/>
        <w:spacing w:after="120" w:before="240"/>
      </w:pPr>
      <w:r>
        <w:t xml:space="preserve">Modeling Assumptions</w:t>
      </w:r>
    </w:p>
    <w:p>
      <w:pPr>
        <w:ind w:left="480"/>
      </w:pPr>
      <w:r>
        <w:t xml:space="preserve">These figures are </w:t>
      </w:r>
      <w:r>
        <w:rPr>
          <w:b/>
          <w:bCs/>
        </w:rPr>
        <w:t xml:space="preserve">not sourced</w:t>
      </w:r>
      <w:r>
        <w:t xml:space="preserve">. They are stated scenario assumptions chosen by the case author because a genuine, multi-tier search (peer-reviewed traffic-safety journals, insurance trade publications, and industry rate-filing guidance) found no single published percentage for "probability a driver with one at-fault claim files a second one within 1-3 years," for a general population. A Hero may challenge this number in discussion — that is a legitimate move.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Probability of a subsequent at-fault collision claim in a year, given a claim already occurred earlier in the three-year window</w:t>
            </w:r>
          </w:p>
        </w:tc>
        <w:tc>
          <w:tcPr>
            <w:tcW w:type="dxa" w:w="1800"/>
          </w:tcPr>
          <w:p>
            <w:r>
              <w:t xml:space="preserve">20%</w:t>
            </w:r>
          </w:p>
        </w:tc>
        <w:tc>
          <w:tcPr>
            <w:tcW w:type="dxa" w:w="1800"/>
          </w:tcPr>
          <w:p>
            <w:r>
              <w:t xml:space="preserve">No source publishes a general-population percentage for this exact claim. Peer-reviewed traffic-safety research (e.g. studies on crash-prone driver clustering and repeat-crash risk) consistently finds that drivers with one at-fault crash carry meaningfully elevated risk of a subsequent one compared with a clean-record driver, but reports that elevation in study-specific terms (relative-risk ratios for narrow subgroups, or concentration shares within a state's crash population) rather than as a single applicable percentage. The value used is set at roughly four times Appendix B's 4.9% baseline — a deliberately moderate reading of "meaningfully elevated," not the high end of what the literature's subgroup-specific ratios could suggest.</w:t>
            </w:r>
          </w:p>
        </w:tc>
        <w:tc>
          <w:tcPr>
            <w:tcW w:type="dxa" w:w="1800"/>
          </w:tcPr>
          <w:p>
            <w:r>
              <w:t xml:space="preserve">This is the case's one stated Modeling Assumption. Work through Challenge 3 (D4) yourself to see how much it actually moves the three-year recommendation before assuming it is the case's weak point — the answer may surprise you.</w:t>
            </w:r>
          </w:p>
        </w:tc>
      </w:tr>
    </w:tbl>
    <w:p/>
    <w:p>
      <w:pPr>
        <w:pStyle w:val="Heading2"/>
        <w:spacing w:after="120" w:before="240"/>
      </w:pPr>
      <w:r>
        <w:t xml:space="preserve">Appendix D — "How To…" Math Questions To Research</w:t>
      </w:r>
    </w:p>
    <w:p>
      <w:r>
        <w:rPr>
          <w:b/>
          <w:bCs/>
        </w:rPr>
        <w:t xml:space="preserve">Vocabulary terms</w:t>
      </w:r>
    </w:p>
    <w:p>
      <w:pPr>
        <w:ind w:left="360"/>
      </w:pPr>
      <w:r>
        <w:t xml:space="preserve">- Probability</w:t>
      </w:r>
    </w:p>
    <w:p>
      <w:pPr>
        <w:ind w:left="360"/>
      </w:pPr>
      <w:r>
        <w:t xml:space="preserve">- Event</w:t>
      </w:r>
    </w:p>
    <w:p>
      <w:pPr>
        <w:ind w:left="360"/>
      </w:pPr>
      <w:r>
        <w:t xml:space="preserve">- Outcome</w:t>
      </w:r>
    </w:p>
    <w:p>
      <w:pPr>
        <w:ind w:left="360"/>
      </w:pPr>
      <w:r>
        <w:t xml:space="preserve">- Dependent Event</w:t>
      </w:r>
    </w:p>
    <w:p>
      <w:pPr>
        <w:ind w:left="360"/>
      </w:pPr>
      <w:r>
        <w:t xml:space="preserve">- Conditional Probability</w:t>
      </w:r>
    </w:p>
    <w:p>
      <w:r>
        <w:rPr>
          <w:b/>
          <w:bCs/>
        </w:rPr>
        <w:t xml:space="preserve">"How to…" questions</w:t>
      </w:r>
    </w:p>
    <w:p>
      <w:pPr>
        <w:ind w:left="360"/>
      </w:pPr>
      <w:r>
        <w:t xml:space="preserve">- How to determine the probability of a single event</w:t>
      </w:r>
    </w:p>
    <w:p>
      <w:pPr>
        <w:ind w:left="360"/>
      </w:pPr>
      <w:r>
        <w:t xml:space="preserve">- How to determine the probability of a compound event</w:t>
      </w:r>
    </w:p>
    <w:p>
      <w:pPr>
        <w:ind w:left="360"/>
      </w:pPr>
      <w:r>
        <w:t xml:space="preserve">- How to determine the probability of conditional events</w:t>
      </w:r>
    </w:p>
    <w:p>
      <w:pPr>
        <w:ind w:left="360"/>
      </w:pPr>
      <w:r>
        <w:t xml:space="preserve">- How to find the percent of a number</w:t>
      </w:r>
    </w:p>
    <w:p>
      <w:pPr>
        <w:pStyle w:val="Heading2"/>
        <w:spacing w:after="120" w:before="240"/>
      </w:pPr>
      <w:r>
        <w:t xml:space="preserve">Appendix E — Sources</w:t>
      </w:r>
    </w:p>
    <w:p>
      <w:r>
        <w:t xml:space="preserve">All sourced (non-assumption) figures in this case are cited here.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National average annual full-coverage auto premium at a $500 deductible and at a $1,000 deductible (matched $500/$500 and $1,000/$1,000 comprehensive/collision comparison, same driver profile, same rate table)</w:t>
            </w:r>
          </w:p>
        </w:tc>
        <w:tc>
          <w:tcPr>
            <w:tcW w:type="dxa" w:w="1500"/>
          </w:tcPr>
          <w:p>
            <w:r>
              <w:t xml:space="preserve">$2,638 (at $500 ded.) / $2,336 (at $1,000 ded.)</w:t>
            </w:r>
          </w:p>
        </w:tc>
        <w:tc>
          <w:tcPr>
            <w:tcW w:type="dxa" w:w="1500"/>
          </w:tcPr>
          <w:p>
            <w:r>
              <w:t xml:space="preserve">Bankrate — auto insurance rate analysis with Quadrant Information Services, January 2025</w:t>
            </w:r>
          </w:p>
        </w:tc>
        <w:tc>
          <w:tcPr>
            <w:tcW w:type="dxa" w:w="1500"/>
          </w:tcPr>
          <w:p>
            <w:r>
              <w:t xml:space="preserve">Jan 2025</w:t>
            </w:r>
          </w:p>
        </w:tc>
        <w:tc>
          <w:tcPr>
            <w:tcW w:type="dxa" w:w="1500"/>
          </w:tcPr>
          <w:p>
            <w:r>
              <w:t xml:space="preserve">MEDIUM</w:t>
            </w:r>
          </w:p>
        </w:tc>
      </w:tr>
      <w:tr>
        <w:tc>
          <w:tcPr>
            <w:tcW w:type="dxa" w:w="1500"/>
          </w:tcPr>
          <w:p>
            <w:r>
              <w:t xml:space="preserve">S2</w:t>
            </w:r>
          </w:p>
        </w:tc>
        <w:tc>
          <w:tcPr>
            <w:tcW w:type="dxa" w:w="1500"/>
          </w:tcPr>
          <w:p>
            <w:r>
              <w:t xml:space="preserve">National average annual collision claim frequency and severity; comprehensive claim frequency and severity</w:t>
            </w:r>
          </w:p>
        </w:tc>
        <w:tc>
          <w:tcPr>
            <w:tcW w:type="dxa" w:w="1500"/>
          </w:tcPr>
          <w:p>
            <w:r>
              <w:t xml:space="preserve">Collision: 4.9% claim frequency, $5,992 average claim. Comprehensive: 3.3% claim frequency, $2,738 average claim.</w:t>
            </w:r>
          </w:p>
        </w:tc>
        <w:tc>
          <w:tcPr>
            <w:tcW w:type="dxa" w:w="1500"/>
          </w:tcPr>
          <w:p>
            <w:r>
              <w:t xml:space="preserve">Insurance Information Institute (Triple-I) — </w:t>
            </w:r>
            <w:hyperlink w:history="1" r:id="rIdw7h0eilktbod_edutaqwu">
              <w:r>
                <w:rPr>
                  <w:rStyle w:val="Hyperlink"/>
                </w:rPr>
                <w:t xml:space="preserve">Facts + Statistics: Auto insurance</w:t>
              </w:r>
            </w:hyperlink>
          </w:p>
        </w:tc>
        <w:tc>
          <w:tcPr>
            <w:tcW w:type="dxa" w:w="1500"/>
          </w:tcPr>
          <w:p>
            <w:r>
              <w:t xml:space="preserve">2022 data (page accessed 2026-09-04)</w:t>
            </w:r>
          </w:p>
        </w:tc>
        <w:tc>
          <w:tcPr>
            <w:tcW w:type="dxa" w:w="1500"/>
          </w:tcPr>
          <w:p>
            <w:r>
              <w:t xml:space="preserve">HIGH</w:t>
            </w:r>
          </w:p>
        </w:tc>
      </w:tr>
    </w:tbl>
    <w:p/>
    <w:p>
      <w:r>
        <w:t xml:space="preserve">See </w:t>
      </w:r>
      <w:r>
        <w:rPr>
          <w:rFonts w:ascii="Courier New" w:cs="Courier New" w:eastAsia="Courier New" w:hAnsi="Courier New"/>
        </w:rPr>
        <w:t xml:space="preserve">RESEARCH_LOG.md</w:t>
      </w:r>
      <w:r>
        <w:t xml:space="preserve"> for the full search trail, including a contested figure (a separate, independently-updated pair of $500-deductible / $1,000-deductible average-premium pages that showed the $1,000-deductible policy costing slightly </w:t>
      </w:r>
      <w:r>
        <w:rPr>
          <w:i/>
          <w:iCs/>
        </w:rPr>
        <w:t xml:space="preserve">more</w:t>
      </w:r>
      <w:r>
        <w:t xml:space="preserve">) that was investigated and excluded rather than used.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7h0eilktbod_edutaqwu" Type="http://schemas.openxmlformats.org/officeDocument/2006/relationships/hyperlink" Target="https://www.iii.org/fact-statistic/facts-statistics-auto-insurance"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2026-09-05T22:43:24.944Z</dcterms:created>
  <dcterms:modified xsi:type="dcterms:W3CDTF">2026-09-05T22:43:24.945Z</dcterms:modified>
</cp:coreProperties>
</file>

<file path=docProps/custom.xml><?xml version="1.0" encoding="utf-8"?>
<Properties xmlns="http://schemas.openxmlformats.org/officeDocument/2006/custom-properties" xmlns:vt="http://schemas.openxmlformats.org/officeDocument/2006/docPropsVTypes"/>
</file>