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Facilitator Guide: Deductible Roulette</w:t>
      </w:r>
    </w:p>
    <w:p>
      <w:pPr>
        <w:spacing w:after="240"/>
        <w:jc w:val="center"/>
      </w:pPr>
      <w:r>
        <w:rPr>
          <w:b/>
          <w:bCs/>
          <w:color w:val="CC0000"/>
        </w:rPr>
        <w:t xml:space="preserve">FACILITATOR-ONLY -- contains the balance, the twist, and the trap. Do not share with Heroes before the discussion.</w:t>
      </w:r>
    </w:p>
    <w:p>
      <w:pPr>
        <w:pStyle w:val="Heading1"/>
        <w:spacing w:after="120" w:before="240"/>
      </w:pPr>
      <w:r>
        <w:t xml:space="preserve">FACILITATOR.md — Deductible Roulette</w:t>
      </w:r>
    </w:p>
    <w:p>
      <w:r>
        <w:rPr>
          <w:i/>
          <w:iCs/>
        </w:rPr>
        <w:t xml:space="preserve">Facilitator-only. Do not paste any of this into case.md's student-facing appendices — see the guard comment at the end of case.md.</w:t>
      </w:r>
    </w:p>
    <w:p>
      <w:r>
        <w:rPr>
          <w:b/>
          <w:bCs/>
        </w:rPr>
        <w:t xml:space="preserve">Case:</w:t>
      </w:r>
      <w:r>
        <w:t xml:space="preserve"> Deductible Roulette · </w:t>
      </w:r>
      <w:r>
        <w:rPr>
          <w:b/>
          <w:bCs/>
        </w:rPr>
        <w:t xml:space="preserve">Tier:</w:t>
      </w:r>
      <w:r>
        <w:t xml:space="preserve"> T3 (MS-stretch / HS-entry) · </w:t>
      </w:r>
      <w:r>
        <w:rPr>
          <w:b/>
          <w:bCs/>
        </w:rPr>
        <w:t xml:space="preserve">Studio:</w:t>
      </w:r>
      <w:r>
        <w:t xml:space="preserve"> MS Adventure </w:t>
      </w:r>
      <w:r>
        <w:rPr>
          <w:b/>
          <w:bCs/>
        </w:rPr>
        <w:t xml:space="preserve">Standards:</w:t>
      </w:r>
      <w:r>
        <w:t xml:space="preserve"> Statistics And Probability — Probability, Event, Outcome, Dependent Event, Conditional Probability, and three "how to…" skills (single event, compound event, conditional events), plus Advanced Numbers' percent-of-a-number how-to (see </w:t>
      </w:r>
      <w:r>
        <w:rPr>
          <w:rFonts w:ascii="Courier New" w:cs="Courier New" w:eastAsia="Courier New" w:hAnsi="Courier New"/>
        </w:rPr>
        <w:t xml:space="preserve">case.json.standards[]</w:t>
      </w:r>
      <w:r>
        <w:t xml:space="preserve"> for exact ids).</w:t>
      </w:r>
    </w:p>
    <w:p>
      <w:r>
        <w:rPr>
          <w:b/>
          <w:bCs/>
        </w:rPr>
        <w:t xml:space="preserve">Status:</w:t>
      </w:r>
      <w:r>
        <w:t xml:space="preserve"> </w:t>
      </w:r>
      <w:r>
        <w:rPr>
          <w:rFonts w:ascii="Courier New" w:cs="Courier New" w:eastAsia="Courier New" w:hAnsi="Courier New"/>
        </w:rPr>
        <w:t xml:space="preserve">case-research</w:t>
      </w:r>
      <w:r>
        <w:t xml:space="preserve"> complete (2026-09-04). All </w:t>
      </w:r>
      <w:r>
        <w:rPr>
          <w:rFonts w:ascii="Courier New" w:cs="Courier New" w:eastAsia="Courier New" w:hAnsi="Courier New"/>
        </w:rPr>
        <w:t xml:space="preserve">{{NEEDS_SOURCE: ...}}</w:t>
      </w:r>
      <w:r>
        <w:t xml:space="preserve"> placeholders in </w:t>
      </w:r>
      <w:r>
        <w:rPr>
          <w:rFonts w:ascii="Courier New" w:cs="Courier New" w:eastAsia="Courier New" w:hAnsi="Courier New"/>
        </w:rPr>
        <w:t xml:space="preserve">case.md</w:t>
      </w:r>
      <w:r>
        <w:t xml:space="preserve"> are resolved — two real sourced figures cover Appendix A's premiums and Appendix B's claim frequency/severity (Appendix E), and Appendix C's repeat-claim probability is a disclosed Modeling Assumption (MA1), not a sourced figure, because no general-population schedule exists. </w:t>
      </w:r>
      <w:r>
        <w:rPr>
          <w:rFonts w:ascii="Courier New" w:cs="Courier New" w:eastAsia="Courier New" w:hAnsi="Courier New"/>
        </w:rPr>
        <w:t xml:space="preserve">case.json.balance.margin_pct</w:t>
      </w:r>
      <w:r>
        <w:t xml:space="preserve"> is a real, computed </w:t>
      </w:r>
      <w:r>
        <w:rPr>
          <w:b/>
          <w:bCs/>
        </w:rPr>
        <w:t xml:space="preserve">10.3%</w:t>
      </w:r>
      <w:r>
        <w:t xml:space="preserve">. Everything below is the case of record, not a placeholder.</w:t>
      </w:r>
    </w:p>
    <w:p>
      <w:r>
        <w:rPr>
          <w:b/>
          <w:bCs/>
        </w:rPr>
        <w:t xml:space="preserve">Sensitivity note (SPEC §6):</w:t>
      </w:r>
      <w:r>
        <w:t xml:space="preserve"> this case touches ordinary money stress — a young single-income worker (a pharmacy technician, 2 years into managing her own budget) making a recurring insurance decision. No illness, death, or family hardship beyond ordinary budget pressure.</w:t>
      </w:r>
    </w:p>
    <w:p>
      <w:pPr>
        <w:pStyle w:val="Heading2"/>
        <w:spacing w:after="120" w:before="240"/>
      </w:pPr>
      <w:r>
        <w:t xml:space="preserve">Argument for A — The Guarded Lane</w:t>
      </w:r>
    </w:p>
    <w:p>
      <w:r>
        <w:t xml:space="preserve">Option A's real strength is not a dollar argument — it is a </w:t>
      </w:r>
      <w:r>
        <w:rPr>
          <w:b/>
          <w:bCs/>
        </w:rPr>
        <w:t xml:space="preserve">variance-reduction argument</w:t>
      </w:r>
      <w:r>
        <w:t xml:space="preserve">: the $500 deductible caps Priya's single-claim exposure at half of what The Long Shot would charge her, which matters for a driver with no cash cushion, independent of which option wins on raw expected value. </w:t>
      </w:r>
      <w:r>
        <w:rPr>
          <w:b/>
          <w:bCs/>
        </w:rPr>
        <w:t xml:space="preserve">Under the case's own current numbers, A does not win on raw three-year expected cost</w:t>
      </w:r>
      <w:r>
        <w:t xml:space="preserve"> (see "The margin" below) — its case has to be made on cash-flow risk tolerance, not on the math alone, and a Hero arguing for A honestly should say so rather than disputing D3's arithmetic.</w:t>
      </w:r>
    </w:p>
    <w:p>
      <w:pPr>
        <w:pStyle w:val="Heading2"/>
        <w:spacing w:after="120" w:before="240"/>
      </w:pPr>
      <w:r>
        <w:t xml:space="preserve">Argument for B — The Long Shot</w:t>
      </w:r>
    </w:p>
    <w:p>
      <w:r>
        <w:t xml:space="preserve">B's real, quantitative case is D3's full three-year expected-cost calculation, correctly weighted by branch probability: once Appendix B's real 4.9% baseline collision-claim frequency is properly applied across all three years — including the branch where a first claim raises the probability of a second one (Appendix C/MA1) — The Long Shot's three-year expected total cost comes out </w:t>
      </w:r>
      <w:r>
        <w:rPr>
          <w:b/>
          <w:bCs/>
        </w:rPr>
        <w:t xml:space="preserve">lower</w:t>
      </w:r>
      <w:r>
        <w:t xml:space="preserve"> than The Guarded Lane's, by a real 10.3% margin. This is the case's central rubric trap: a Hero who picks the lower deductible by default, on the instinct that it "feels safer," is choosing the option that costs more in the large majority of realistic three-year outcomes, because the deductible is only ever paid if a claim actually happens, and it usually does not (Appendix B's own 4.9% baseline says so directly).</w:t>
      </w:r>
    </w:p>
    <w:p>
      <w:pPr>
        <w:pStyle w:val="Heading2"/>
        <w:spacing w:after="120" w:before="240"/>
      </w:pPr>
      <w:r>
        <w:t xml:space="preserve">The margin — real numbers</w:t>
      </w:r>
    </w:p>
    <w:p>
      <w:r>
        <w:rPr>
          <w:rFonts w:ascii="Courier New" w:cs="Courier New" w:eastAsia="Courier New" w:hAnsi="Courier New"/>
        </w:rPr>
        <w:t xml:space="preserve">case.json.balance.margin_pct</w:t>
      </w:r>
      <w:r>
        <w:t xml:space="preserve"> = </w:t>
      </w:r>
      <w:r>
        <w:rPr>
          <w:b/>
          <w:bCs/>
        </w:rPr>
        <w:t xml:space="preserve">10.3%</w:t>
      </w:r>
      <w:r>
        <w:t xml:space="preserve">, inside the concept brief's target 8-12% band. The arithmetic, in full (see </w:t>
      </w:r>
      <w:r>
        <w:rPr>
          <w:rFonts w:ascii="Courier New" w:cs="Courier New" w:eastAsia="Courier New" w:hAnsi="Courier New"/>
        </w:rPr>
        <w:t xml:space="preserve">sensitivity_model.py</w:t>
      </w:r>
      <w:r>
        <w:t xml:space="preserve"> for the exact reproducible computation):</w:t>
      </w:r>
    </w:p>
    <w:p>
      <w:pPr>
        <w:ind w:left="360"/>
      </w:pPr>
      <w:r>
        <w:t xml:space="preserve">- </w:t>
      </w:r>
      <w:r>
        <w:rPr>
          <w:b/>
          <w:bCs/>
        </w:rPr>
        <w:t xml:space="preserve">Three-year premium totals (Appendix A, sourced [S1]):</w:t>
      </w:r>
      <w:r>
        <w:t xml:space="preserve"> A = $7,914.00. B = $7,008.00.</w:t>
      </w:r>
    </w:p>
    <w:p>
      <w:pPr>
        <w:ind w:left="360"/>
      </w:pPr>
      <w:r>
        <w:t xml:space="preserve">- </w:t>
      </w:r>
      <w:r>
        <w:rPr>
          <w:b/>
          <w:bCs/>
        </w:rPr>
        <w:t xml:space="preserve">Expected deductible-payment weight, three years, using the branch structure</w:t>
      </w:r>
      <w:r>
        <w:t xml:space="preserve"> (Year N's   probability = "still clean" weight × 4.9% baseline + "already claimed" weight × 20% MA1 rate):</w:t>
      </w:r>
    </w:p>
    <w:p>
      <w:pPr>
        <w:ind w:left="360"/>
      </w:pPr>
      <w:r>
        <w:t xml:space="preserve">- Year 1: 0.0490</w:t>
      </w:r>
    </w:p>
    <w:p>
      <w:pPr>
        <w:ind w:left="360"/>
      </w:pPr>
      <w:r>
        <w:t xml:space="preserve">- Year 2: (1−0.049)×0.049 + 0.049×0.20 = 0.0466 + 0.0098 = 0.0564</w:t>
      </w:r>
    </w:p>
    <w:p>
      <w:pPr>
        <w:ind w:left="360"/>
      </w:pPr>
      <w:r>
        <w:t xml:space="preserve">- Year 3: (1−0.049)²×0.049 + [1−(1−0.049)²]×0.20 = 0.0443 + 0.0191 = 0.0634</w:t>
      </w:r>
    </w:p>
    <w:p>
      <w:pPr>
        <w:ind w:left="360"/>
      </w:pPr>
      <w:r>
        <w:t xml:space="preserve">- Total weight: </w:t>
      </w:r>
      <w:r>
        <w:rPr>
          <w:b/>
          <w:bCs/>
        </w:rPr>
        <w:t xml:space="preserve">0.1688</w:t>
      </w:r>
    </w:p>
    <w:p>
      <w:pPr>
        <w:ind w:left="360"/>
      </w:pPr>
      <w:r>
        <w:t xml:space="preserve">- </w:t>
      </w:r>
      <w:r>
        <w:rPr>
          <w:b/>
          <w:bCs/>
        </w:rPr>
        <w:t xml:space="preserve">Expected 3-year deductible payment:</w:t>
      </w:r>
      <w:r>
        <w:t xml:space="preserve"> A = 500 × 0.1688 = </w:t>
      </w:r>
      <w:r>
        <w:rPr>
          <w:b/>
          <w:bCs/>
        </w:rPr>
        <w:t xml:space="preserve">$84.42</w:t>
      </w:r>
      <w:r>
        <w:t xml:space="preserve">. B = 1,000 × 0.1688 =   </w:t>
      </w:r>
      <w:r>
        <w:rPr>
          <w:b/>
          <w:bCs/>
        </w:rPr>
        <w:t xml:space="preserve">$168.83</w:t>
      </w:r>
      <w:r>
        <w:t xml:space="preserve">.</w:t>
      </w:r>
    </w:p>
    <w:p>
      <w:pPr>
        <w:ind w:left="360"/>
      </w:pPr>
      <w:r>
        <w:t xml:space="preserve">- </w:t>
      </w:r>
      <w:r>
        <w:rPr>
          <w:b/>
          <w:bCs/>
        </w:rPr>
        <w:t xml:space="preserve">Three-year expected total cost:</w:t>
      </w:r>
      <w:r>
        <w:t xml:space="preserve"> A = 7,914.00 + 84.42 = </w:t>
      </w:r>
      <w:r>
        <w:rPr>
          <w:b/>
          <w:bCs/>
        </w:rPr>
        <w:t xml:space="preserve">$7,998.42</w:t>
      </w:r>
      <w:r>
        <w:t xml:space="preserve">. B = 7,008.00 + 168.83 =   </w:t>
      </w:r>
      <w:r>
        <w:rPr>
          <w:b/>
          <w:bCs/>
        </w:rPr>
        <w:t xml:space="preserve">$7,176.83</w:t>
      </w:r>
      <w:r>
        <w:t xml:space="preserve">.</w:t>
      </w:r>
    </w:p>
    <w:p>
      <w:pPr>
        <w:ind w:left="360"/>
      </w:pPr>
      <w:r>
        <w:t xml:space="preserve">- </w:t>
      </w:r>
      <w:r>
        <w:rPr>
          <w:b/>
          <w:bCs/>
        </w:rPr>
        <w:t xml:space="preserve">Margin:</w:t>
      </w:r>
      <w:r>
        <w:t xml:space="preserve"> |7,998.42 − 7,176.83| / 7,998.42 = </w:t>
      </w:r>
      <w:r>
        <w:rPr>
          <w:b/>
          <w:bCs/>
        </w:rPr>
        <w:t xml:space="preserve">10.3%</w:t>
      </w:r>
      <w:r>
        <w:t xml:space="preserve">.</w:t>
      </w:r>
    </w:p>
    <w:p>
      <w:r>
        <w:rPr>
          <w:b/>
          <w:bCs/>
        </w:rPr>
        <w:t xml:space="preserve">Under the case's current numbers, B is the cheaper option</w:t>
      </w:r>
      <w:r>
        <w:t xml:space="preserve"> — $7,176.83 against A's $7,998.42 over three years. Unlike </w:t>
      </w:r>
      <w:r>
        <w:rPr>
          <w:rFonts w:ascii="Courier New" w:cs="Courier New" w:eastAsia="Courier New" w:hAnsi="Courier New"/>
        </w:rPr>
        <w:t xml:space="preserve">cases/the-deferred-repair</w:t>
      </w:r>
      <w:r>
        <w:t xml:space="preserve">, this margin is built almost entirely from </w:t>
      </w:r>
      <w:r>
        <w:rPr>
          <w:b/>
          <w:bCs/>
        </w:rPr>
        <w:t xml:space="preserve">sourced, real-world figures</w:t>
      </w:r>
      <w:r>
        <w:t xml:space="preserve"> — Appendix A's premiums and Appendix B's claim frequency are both cited numbers, not assumptions. MA1 (the 20% repeat-claim rate) is the case's one stated Modeling Assumption, and it plays a smaller role here than a comparable assumption did in that sibling case.</w:t>
      </w:r>
    </w:p>
    <w:p>
      <w:r>
        <w:rPr>
          <w:b/>
          <w:bCs/>
        </w:rPr>
        <w:t xml:space="preserve">Why this matters for the facilitator, specifically — and this has two DIFFERENT answers depending on which question is being asked, so read carefully.</w:t>
      </w:r>
      <w:r>
        <w:t xml:space="preserve"> </w:t>
      </w:r>
      <w:r>
        <w:rPr>
          <w:rFonts w:ascii="Courier New" w:cs="Courier New" w:eastAsia="Courier New" w:hAnsi="Courier New"/>
        </w:rPr>
        <w:t xml:space="preserve">sensitivity_model.py</w:t>
      </w:r>
      <w:r>
        <w:t xml:space="preserve">'s ±50% sweep of MA1 (10% to 30%) moves the </w:t>
      </w:r>
      <w:r>
        <w:rPr>
          <w:b/>
          <w:bCs/>
        </w:rPr>
        <w:t xml:space="preserve">primary three-year recommendation's</w:t>
      </w:r>
      <w:r>
        <w:t xml:space="preserve"> margin only from about 10.2% to 10.4% — essentially flat. Pushed all the way to a mechanically extreme 100% (every driver who ever files one claim is certain to file a second one within the window), B </w:t>
      </w:r>
      <w:r>
        <w:rPr>
          <w:i/>
          <w:iCs/>
        </w:rPr>
        <w:t xml:space="preserve">still</w:t>
      </w:r>
      <w:r>
        <w:t xml:space="preserve"> wins the </w:t>
      </w:r>
      <w:r>
        <w:rPr>
          <w:b/>
          <w:bCs/>
        </w:rPr>
        <w:t xml:space="preserve">primary, whole-window</w:t>
      </w:r>
      <w:r>
        <w:t xml:space="preserve"> comparison, at a reduced but real ~9.5% margin. </w:t>
      </w:r>
      <w:r>
        <w:rPr>
          <w:b/>
          <w:bCs/>
        </w:rPr>
        <w:t xml:space="preserve">There is no value of MA1 that flips the PRIMARY three-year recommendation</w:t>
      </w:r>
      <w:r>
        <w:t xml:space="preserve"> — confirmed by binary search across the full [0%, 100%] range, not just the ±50% band. The reason is structural: in the primary metric, MA1 only ever weights a fraction of the three-year window's probability mass (Year 1 can never be "post-claim"), and it can never outweigh the fixed $906 three-year premium gap between the two policies.</w:t>
      </w:r>
    </w:p>
    <w:p>
      <w:r>
        <w:rPr>
          <w:b/>
          <w:bCs/>
        </w:rPr>
        <w:t xml:space="preserve">But Challenge 3 (D4) and `sensitivity_model.py`'s `evaluate_twist()` ask a DIFFERENT, narrower question — "if a claim already happened in Year 1, what should Priya do for the remaining two years?" — and THAT metric is genuinely fragile to MA1.</w:t>
      </w:r>
      <w:r>
        <w:t xml:space="preserve"> Once a claim has already occurred, MA1 applies undiluted to both remaining years (there is no "still clean" branch left to dilute it), and a binary search finds this narrower recommendation flips from B to A at MA1 ≈ </w:t>
      </w:r>
      <w:r>
        <w:rPr>
          <w:b/>
          <w:bCs/>
        </w:rPr>
        <w:t xml:space="preserve">60.4%</w:t>
      </w:r>
      <w:r>
        <w:t xml:space="preserve"> — about 3x the case's stated 20%, and a value the case's own MA1 basis note does not rule out as implausible ("not the high end of what the literature's subgroup-specific ratios could suggest"). </w:t>
      </w:r>
      <w:r>
        <w:rPr>
          <w:b/>
          <w:bCs/>
        </w:rPr>
        <w:t xml:space="preserve">Do not tell a Hero "MA1 never flips the recommendation" as a blanket statement — it is true for the primary, whole-window question and false for the D4, already-claimed question.</w:t>
      </w:r>
      <w:r>
        <w:t xml:space="preserve"> This distinction, not a single flat "it's robust" or "it's fragile" answer, is the actual twist (below).</w:t>
      </w:r>
    </w:p>
    <w:p>
      <w:pPr>
        <w:pStyle w:val="Heading2"/>
        <w:spacing w:after="120" w:before="240"/>
      </w:pPr>
      <w:r>
        <w:t xml:space="preserve">Five Socratic questions</w:t>
      </w:r>
    </w:p>
    <w:p>
      <w:pPr>
        <w:ind w:left="360"/>
      </w:pPr>
      <w:r>
        <w:t xml:space="preserve">1. Your D3 calculation weights each year's expected deductible payment by whether Priya is still "clean" or has already had a claim — why does that weighting matter more than just multiplying one flat probability by one flat deductible for all three years?</w:t>
      </w:r>
    </w:p>
    <w:p>
      <w:pPr>
        <w:ind w:left="360"/>
      </w:pPr>
      <w:r>
        <w:t xml:space="preserve">2. Appendix C's 20% repeat-claim rate is a stated assumption, not a published number — if that number were actually 40%, or even 80%, would the recommendation change? Rerun D3 with that value before you answer.</w:t>
      </w:r>
    </w:p>
    <w:p>
      <w:pPr>
        <w:ind w:left="360"/>
      </w:pPr>
      <w:r>
        <w:t xml:space="preserve">3. You computed the probability Priya stays claim-free through Year 1 AND Year 2 by multiplying, not adding — what would adding have gotten wrong, and by how much?</w:t>
      </w:r>
    </w:p>
    <w:p>
      <w:pPr>
        <w:ind w:left="360"/>
      </w:pPr>
      <w:r>
        <w:t xml:space="preserve">4. Appendix B lists real comprehensive-coverage claim data right next to the collision data this case actually uses — why doesn't the comprehensive data belong in your D3 calculation?</w:t>
      </w:r>
    </w:p>
    <w:p>
      <w:pPr>
        <w:ind w:left="360"/>
      </w:pPr>
      <w:r>
        <w:t xml:space="preserve">5. If you had already filed one claim in Year 1, would you still recommend the same policy for Years 2 and 3? Redo D3 for just the remaining two years under that condition (Challenge 3 D4) before you answer.</w:t>
      </w:r>
    </w:p>
    <w:p>
      <w:pPr>
        <w:pStyle w:val="Heading2"/>
        <w:spacing w:after="120" w:before="240"/>
      </w:pPr>
      <w:r>
        <w:t xml:space="preserve">The trap</w:t>
      </w:r>
    </w:p>
    <w:p>
      <w:r>
        <w:rPr>
          <w:b/>
          <w:bCs/>
        </w:rPr>
        <w:t xml:space="preserve">A learner who compares the two deductibles directly — "$500 is safer than $1,000, so pick the lower one" — without ever weighting that comparison by how likely a claim actually is, will land on The Guarded Lane, and will be choosing the option that costs more in the large majority of realistic three-year outcomes.</w:t>
      </w:r>
      <w:r>
        <w:t xml:space="preserve"> This is the whole point of the case: a deductible is not a cost you pay every year, it is a cost you pay </w:t>
      </w:r>
      <w:r>
        <w:rPr>
          <w:i/>
          <w:iCs/>
        </w:rPr>
        <w:t xml:space="preserve">only if a claim happens</w:t>
      </w:r>
      <w:r>
        <w:t xml:space="preserve">, and Appendix B's own 4.9% baseline says that in a given year it usually does not. Only the </w:t>
      </w:r>
      <w:r>
        <w:rPr>
          <w:i/>
          <w:iCs/>
        </w:rPr>
        <w:t xml:space="preserve">expected</w:t>
      </w:r>
      <w:r>
        <w:t xml:space="preserve"> value of the deductible — probability times dollar amount — belongs next to the certain premium difference, and only the correct route (D1 through D3) reveals the real 10.3% margin favoring the higher-deductible option.</w:t>
      </w:r>
    </w:p>
    <w:p>
      <w:r>
        <w:rPr>
          <w:b/>
          <w:bCs/>
        </w:rPr>
        <w:t xml:space="preserve">A second, more likely trap once a Hero has correctly built D1–D3:</w:t>
      </w:r>
      <w:r>
        <w:t xml:space="preserve"> reusing D2's </w:t>
      </w:r>
      <w:r>
        <w:rPr>
          <w:i/>
          <w:iCs/>
        </w:rPr>
        <w:t xml:space="preserve">compound</w:t>
      </w:r>
      <w:r>
        <w:t xml:space="preserve"> "at least one claim across three years" probability (~14.0%) as if it were a single flat per-year rate for D3's weighting, instead of using each year's own branch-conditional probability (Year 1: 4.9%; Year 2: a blend of 4.9% and 20% depending on branch; Year 3: a further blend). This produces a plausible-looking but wrong dollar figure that conflates "probability of at least one claim ever" (D2's job) with "expected cost in a specific year" (D3's job) — watch for a pitch whose D3 table uses the same probability in all three rows.</w:t>
      </w:r>
    </w:p>
    <w:p>
      <w:r>
        <w:rPr>
          <w:b/>
          <w:bCs/>
        </w:rPr>
        <w:t xml:space="preserve">A third trap (Tier 2 P3 finding, added after adversarial review):</w:t>
      </w:r>
      <w:r>
        <w:t xml:space="preserve"> a student who correctly sets up D3's probability-weighting structure can still get the dollar side of the calculation wrong by substituting Appendix B's </w:t>
      </w:r>
      <w:r>
        <w:rPr>
          <w:i/>
          <w:iCs/>
        </w:rPr>
        <w:t xml:space="preserve">average paid claim amount</w:t>
      </w:r>
      <w:r>
        <w:t xml:space="preserve"> ($5,992 for collision) for the </w:t>
      </w:r>
      <w:r>
        <w:rPr>
          <w:i/>
          <w:iCs/>
        </w:rPr>
        <w:t xml:space="preserve">deductible</w:t>
      </w:r>
      <w:r>
        <w:t xml:space="preserve"> in the expected-cost formula — i.e. computing (probability × $5,992) instead of (probability × the policy's own $500 or $1,000 deductible). This produces a plausible-looking but wildly inflated dollar figure built from a real number that genuinely appears in the case, and it specifically requires the reader to correctly apply Appendix B's own modeling note ("Priya pays the full deductible out of pocket; the insurer covers the remainder") rather than reflexively reaching for the biggest cost-shaped number on the page. Watch for a pitch whose expected out-of-pocket figures are in the thousands of dollars rather than the tens to low hundreds.</w:t>
      </w:r>
    </w:p>
    <w:p>
      <w:pPr>
        <w:pStyle w:val="Heading2"/>
        <w:spacing w:after="120" w:before="240"/>
      </w:pPr>
      <w:r>
        <w:t xml:space="preserve">Twist</w:t>
      </w:r>
    </w:p>
    <w:p>
      <w:r>
        <w:t xml:space="preserve">The twist is structural, not a scripted mid-discussion reveal, and it has </w:t>
      </w:r>
      <w:r>
        <w:rPr>
          <w:b/>
          <w:bCs/>
        </w:rPr>
        <w:t xml:space="preserve">two parts that a facilitator must not collapse into one</w:t>
      </w:r>
      <w:r>
        <w:t xml:space="preserve">:</w:t>
      </w:r>
    </w:p>
    <w:p>
      <w:r>
        <w:rPr>
          <w:b/>
          <w:bCs/>
        </w:rPr>
        <w:t xml:space="preserve">Part 1 — the primary recommendation is robust.</w:t>
      </w:r>
      <w:r>
        <w:t xml:space="preserve"> The assumption a Hero is most likely to challenge (Appendix C's 20% repeat-claim rate) turns out NOT to be the case's fragile point for the whole-window, three-year question, no matter how far it is pushed (verified across the full [0%, 100%] range, not just ±50%). Most Heroes, on first seeing a stated Modeling Assumption, assume it must be the case's weak spot and attack it directly. Run Socratic Question 2 as the first twist moment: have the room actually recompute D3 with MA1 doubled, then quadrupled, then pushed to 100%. The primary recommendation never flips. The lesson: a case's headline number can rest on one stated assumption without that assumption being where the real uncertainty lives — here, the primary recommendation is carried almost entirely by the two </w:t>
      </w:r>
      <w:r>
        <w:rPr>
          <w:i/>
          <w:iCs/>
        </w:rPr>
        <w:t xml:space="preserve">sourced</w:t>
      </w:r>
      <w:r>
        <w:t xml:space="preserve"> figures (the real premium gap and the real baseline claim frequency).</w:t>
      </w:r>
    </w:p>
    <w:p>
      <w:r>
        <w:rPr>
          <w:b/>
          <w:bCs/>
        </w:rPr>
        <w:t xml:space="preserve">Part 2 — but the D4 scenario is NOT robust, and this is the part a facilitator must not skip.</w:t>
      </w:r>
      <w:r>
        <w:t xml:space="preserve"> Once the room has convinced itself MA1 "doesn't matter," push further with Challenge 3 (D4): "if Priya has already had a claim in Year 1, is your recommendation for Years 2 and 3 still the same?" Run the numbers on </w:t>
      </w:r>
      <w:r>
        <w:rPr>
          <w:rFonts w:ascii="Courier New" w:cs="Courier New" w:eastAsia="Courier New" w:hAnsi="Courier New"/>
        </w:rPr>
        <w:t xml:space="preserve">evaluate_twist()</w:t>
      </w:r>
      <w:r>
        <w:t xml:space="preserve">'s remaining-years comparison, and let the room discover it flips from B to A once MA1 is pushed to roughly 60% — a number only 3x the stated value, not the mechanically extreme 100% that Part 1 required. </w:t>
      </w:r>
      <w:r>
        <w:rPr>
          <w:b/>
          <w:bCs/>
        </w:rPr>
        <w:t xml:space="preserve">A Hero (or a facilitator) who generalizes Part 1's robustness finding to Part 2 without checking is making exactly the kind of confident, plausible-but-wrong leap this case exists to catch.</w:t>
      </w:r>
      <w:r>
        <w:t xml:space="preserve"> The real, transferable lesson is that "robust to this assumption" is a claim about a </w:t>
      </w:r>
      <w:r>
        <w:rPr>
          <w:i/>
          <w:iCs/>
        </w:rPr>
        <w:t xml:space="preserve">specific</w:t>
      </w:r>
      <w:r>
        <w:t xml:space="preserve"> metric, not a property of the case as a whole — the same input can be safely ignorable for one question and load-bearing for a different one asked of the same numbers. This is the opposite failure mode from </w:t>
      </w:r>
      <w:r>
        <w:rPr>
          <w:rFonts w:ascii="Courier New" w:cs="Courier New" w:eastAsia="Courier New" w:hAnsi="Courier New"/>
        </w:rPr>
        <w:t xml:space="preserve">the-deferred-repair</w:t>
      </w:r>
      <w:r>
        <w:t xml:space="preserve">, where a single stated assumption was uniformly the fragile lever for that case's one graded metric — facilitators who have run that case recently should watch for themselves assuming a finding from Part 1 here settles Part 2 as well.</w:t>
      </w:r>
    </w:p>
    <w:p>
      <w:pPr>
        <w:pStyle w:val="Heading2"/>
        <w:spacing w:after="120" w:before="240"/>
      </w:pPr>
      <w:r>
        <w:t xml:space="preserve">Guide Notes — the anchor ladder (SPEC, anchor-ladder subsection)</w:t>
      </w:r>
    </w:p>
    <w:p>
      <w:pPr>
        <w:pStyle w:val="Heading3"/>
        <w:spacing w:after="120" w:before="240"/>
      </w:pPr>
      <w:r>
        <w:t xml:space="preserve">Intro</w:t>
      </w:r>
    </w:p>
    <w:p>
      <w:r>
        <w:t xml:space="preserve">Frame the format: two renewal quotes, one countdown banner, one decision Priya has never had to make for herself before. This is a real personal-finance decision dressed as an insurance-portal screenshot, not the other way around.</w:t>
      </w:r>
    </w:p>
    <w:p>
      <w:pPr>
        <w:pStyle w:val="Heading3"/>
        <w:spacing w:after="120" w:before="240"/>
      </w:pPr>
      <w:r>
        <w:t xml:space="preserve">Launch</w:t>
      </w:r>
    </w:p>
    <w:p>
      <w:r>
        <w:t xml:space="preserve">Read the Overview aloud. Stop at "whether 'safer' and 'cheaper' are even pointing at the same option this time." Ask the room: "Before you've seen a single number, which policy do you think is actually cheaper over three years — the one with the lower deductible, or the one with the lower premium? Why?"</w:t>
      </w:r>
    </w:p>
    <w:p>
      <w:pPr>
        <w:pStyle w:val="Heading3"/>
        <w:spacing w:after="120" w:before="240"/>
      </w:pPr>
      <w:r>
        <w:t xml:space="preserve">Anchor 1 — TAKE A STAND AND VOTE</w:t>
      </w:r>
    </w:p>
    <w:p>
      <w:r>
        <w:t xml:space="preserve">No reasoning yet. "The Guarded Lane or The Long Shot — show of hands." Record the split. Most rooms lean toward the lower deductible before seeing any numbers — that instinct is exactly what the case is built to test.</w:t>
      </w:r>
    </w:p>
    <w:p>
      <w:pPr>
        <w:pStyle w:val="Heading3"/>
        <w:spacing w:after="120" w:before="240"/>
      </w:pPr>
      <w:r>
        <w:t xml:space="preserve">Anchor 2 — WHAT IS THE PROBLEM WE'RE SOLVING?</w:t>
      </w:r>
    </w:p>
    <w:p>
      <w:r>
        <w:t xml:space="preserve">Push the room past "which deductible amount sounds scarier" toward "which policy has the lower real expected cost, once the actual chance of a claim is factored in." Let the room sit with the fact that Appendix C's repeat-claim number is not published anywhere — it is the case's stated Modeling Assumption, not a fact anyone can look up.</w:t>
      </w:r>
    </w:p>
    <w:p>
      <w:pPr>
        <w:pStyle w:val="Heading3"/>
        <w:spacing w:after="120" w:before="240"/>
      </w:pPr>
      <w:r>
        <w:t xml:space="preserve">Anchor 3 — WHAT IS THE PROCESS?</w:t>
      </w:r>
    </w:p>
    <w:p>
      <w:r>
        <w:t xml:space="preserve">Before touching Appendix B's numbers, get the room to state the actual comparison method out loud: build the branch-conditional probability table (D1), compute the probability of staying claim-free through the window (D2), then weight each year's deductible cost by the right branch probability to get a true three-year expected cost (D3). Re-ask: "Now that we have a process, is 'which deductible feels bigger' still the right question?"</w:t>
      </w:r>
    </w:p>
    <w:p>
      <w:pPr>
        <w:pStyle w:val="Heading3"/>
        <w:spacing w:after="120" w:before="240"/>
      </w:pPr>
      <w:r>
        <w:t xml:space="preserve">Anchor 4 — WHAT DON'T WE KNOW?</w:t>
      </w:r>
    </w:p>
    <w:p>
      <w:r>
        <w:t xml:space="preserve">Name the load-bearing unknown explicitly: nobody has ever published a general-population probability that a driver who's already had one claim gets a second one. "Is 20% a fact, or a stated, defensible guess? What would make a different guess just as defensible?"</w:t>
      </w:r>
    </w:p>
    <w:p>
      <w:pPr>
        <w:pStyle w:val="Heading3"/>
        <w:spacing w:after="120" w:before="240"/>
      </w:pPr>
      <w:r>
        <w:t xml:space="preserve">Data Deep Dive</w:t>
      </w:r>
    </w:p>
    <w:p>
      <w:r>
        <w:t xml:space="preserve">Now open Appendices A–D. Run D1–D5 as a room, or have groups report out. This is also the moment to run Socratic Questions 1 and 3 (the branch-weighting logic and the compound-probability mechanics).</w:t>
      </w:r>
    </w:p>
    <w:p>
      <w:pPr>
        <w:pStyle w:val="Heading3"/>
        <w:spacing w:after="120" w:before="240"/>
      </w:pPr>
      <w:r>
        <w:t xml:space="preserve">Twist</w:t>
      </w:r>
    </w:p>
    <w:p>
      <w:r>
        <w:t xml:space="preserve">Once D3's numbers are on the table and a recommendation has started to form, run Socratic Question 2 directly: push the room to recompute D3 with MA1 doubled, then pushed to an extreme. Let the room discover that the margin barely moves (10.3% → roughly 9.5% even at the most extreme possible assumption) — the opposite of what most rooms expect from "the case's only assumption."</w:t>
      </w:r>
    </w:p>
    <w:p>
      <w:pPr>
        <w:pStyle w:val="Heading3"/>
        <w:spacing w:after="120" w:before="240"/>
      </w:pPr>
      <w:r>
        <w:t xml:space="preserve">Close</w:t>
      </w:r>
    </w:p>
    <w:p>
      <w:r>
        <w:t xml:space="preserve">VOTE AGAIN. "Did the vote move? For the people who didn't move, what would it take to change your mind — a different number, or a different kind of argument entirely (cash-flow risk, not expected value)?"</w:t>
      </w:r>
    </w:p>
    <w:p>
      <w:pPr>
        <w:pStyle w:val="Heading3"/>
        <w:spacing w:after="120" w:before="240"/>
      </w:pPr>
      <w:r>
        <w:t xml:space="preserve">Lessons Learned</w:t>
      </w:r>
    </w:p>
    <w:p>
      <w:r>
        <w:t xml:space="preserve">The core transferable idea: an option that "feels safer" because it caps worst-case loss is not automatically the option with the lower </w:t>
      </w:r>
      <w:r>
        <w:rPr>
          <w:i/>
          <w:iCs/>
        </w:rPr>
        <w:t xml:space="preserve">expected</w:t>
      </w:r>
      <w:r>
        <w:t xml:space="preserve"> cost — and testing whether the case's one stated assumption is actually load-bearing (it usually is not, here) is itself a real analytical skill, distinct from just plugging numbers into a formula.</w:t>
      </w:r>
    </w:p>
    <w:p>
      <w:pPr>
        <w:pStyle w:val="Heading3"/>
        <w:spacing w:after="120" w:before="240"/>
      </w:pPr>
      <w:r>
        <w:t xml:space="preserve">Standards Touched On</w:t>
      </w:r>
    </w:p>
    <w:p>
      <w:r>
        <w:t xml:space="preserve">Probability, Event, Outcome, Dependent Event, Conditional Probability; How to determine the probability of a single event; How to determine the probability of a compound event; How to determine the probability of conditional events; How to find the percent of a number.</w:t>
      </w:r>
    </w:p>
    <w:p>
      <w:pPr>
        <w:pStyle w:val="Heading2"/>
        <w:spacing w:after="120" w:before="240"/>
      </w:pPr>
      <w:r>
        <w:t xml:space="preserve">45-minute Socratic plan (SPEC §7.3)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DDDDD" w:val="clear"/>
          </w:tcPr>
          <w:p>
            <w:r>
              <w:t xml:space="preserve">Time</w:t>
            </w:r>
          </w:p>
        </w:tc>
        <w:tc>
          <w:tcPr>
            <w:tcW w:type="dxa" w:w="4500"/>
            <w:shd w:fill="DDDDDD" w:val="clear"/>
          </w:tcPr>
          <w:p>
            <w:r>
              <w:t xml:space="preserve">Move</w:t>
            </w:r>
          </w:p>
        </w:tc>
      </w:tr>
      <w:tr>
        <w:tc>
          <w:tcPr>
            <w:tcW w:type="dxa" w:w="4500"/>
          </w:tcPr>
          <w:p>
            <w:r>
              <w:t xml:space="preserve">0:00–3:00</w:t>
            </w:r>
          </w:p>
        </w:tc>
        <w:tc>
          <w:tcPr>
            <w:tcW w:type="dxa" w:w="4500"/>
          </w:tcPr>
          <w:p>
            <w:r>
              <w:t xml:space="preserve">Cold read of the Overview, gut-check vote (Anchor 1) — no numbers shown yet</w:t>
            </w:r>
          </w:p>
        </w:tc>
      </w:tr>
      <w:tr>
        <w:tc>
          <w:tcPr>
            <w:tcW w:type="dxa" w:w="4500"/>
          </w:tcPr>
          <w:p>
            <w:r>
              <w:t xml:space="preserve">3:00–8:00</w:t>
            </w:r>
          </w:p>
        </w:tc>
        <w:tc>
          <w:tcPr>
            <w:tcW w:type="dxa" w:w="4500"/>
          </w:tcPr>
          <w:p>
            <w:r>
              <w:t xml:space="preserve">Position defense: "Convince us your pick is the cheaper bet over three years, not just the one that feels safer"</w:t>
            </w:r>
          </w:p>
        </w:tc>
      </w:tr>
      <w:tr>
        <w:tc>
          <w:tcPr>
            <w:tcW w:type="dxa" w:w="4500"/>
          </w:tcPr>
          <w:p>
            <w:r>
              <w:t xml:space="preserve">8:00–20:00</w:t>
            </w:r>
          </w:p>
        </w:tc>
        <w:tc>
          <w:tcPr>
            <w:tcW w:type="dxa" w:w="4500"/>
          </w:tcPr>
          <w:p>
            <w:r>
              <w:t xml:space="preserve">Data Deep Dive — build D1's branch-conditional probability table and D2's compound probability as a room</w:t>
            </w:r>
          </w:p>
        </w:tc>
      </w:tr>
      <w:tr>
        <w:tc>
          <w:tcPr>
            <w:tcW w:type="dxa" w:w="4500"/>
          </w:tcPr>
          <w:p>
            <w:r>
              <w:t xml:space="preserve">20:00–30:00</w:t>
            </w:r>
          </w:p>
        </w:tc>
        <w:tc>
          <w:tcPr>
            <w:tcW w:type="dxa" w:w="4500"/>
          </w:tcPr>
          <w:p>
            <w:r>
              <w:t xml:space="preserve">Build D3's full three-year expected-cost comparison; confirm the 10.3% margin and where it comes from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</w:rPr>
              <w:t xml:space="preserve">30:00</w:t>
            </w:r>
          </w:p>
        </w:tc>
        <w:tc>
          <w:tcPr>
            <w:tcW w:type="dxa" w:w="4500"/>
          </w:tcPr>
          <w:p>
            <w:r>
              <w:rPr>
                <w:b/>
                <w:bCs/>
              </w:rPr>
              <w:t xml:space="preserve">DROP THE TWIST</w:t>
            </w:r>
            <w:r>
              <w:t xml:space="preserve"> — Socratic Question 2: recompute D3 with MA1 doubled, then pushed to an extreme — does the recommendation survive?</w:t>
            </w:r>
          </w:p>
        </w:tc>
      </w:tr>
      <w:tr>
        <w:tc>
          <w:tcPr>
            <w:tcW w:type="dxa" w:w="4500"/>
          </w:tcPr>
          <w:p>
            <w:r>
              <w:t xml:space="preserve">30:00–38:00</w:t>
            </w:r>
          </w:p>
        </w:tc>
        <w:tc>
          <w:tcPr>
            <w:tcW w:type="dxa" w:w="4500"/>
          </w:tcPr>
          <w:p>
            <w:r>
              <w:t xml:space="preserve">Pressure-test MA1 directly: confirm the margin barely moves even at the most extreme defensible value, and discuss why (the fixed premium gap dominates)</w:t>
            </w:r>
          </w:p>
        </w:tc>
      </w:tr>
      <w:tr>
        <w:tc>
          <w:tcPr>
            <w:tcW w:type="dxa" w:w="4500"/>
          </w:tcPr>
          <w:p>
            <w:r>
              <w:t xml:space="preserve">38:00–45:00</w:t>
            </w:r>
          </w:p>
        </w:tc>
        <w:tc>
          <w:tcPr>
            <w:tcW w:type="dxa" w:w="4500"/>
          </w:tcPr>
          <w:p>
            <w:r>
              <w:t xml:space="preserve">Close, re-vote, D4's "what if a claim already happened" exercise, lessons learned</w:t>
            </w:r>
          </w:p>
        </w:tc>
      </w:tr>
    </w:tbl>
    <w:p/>
    <w:p>
      <w:pPr>
        <w:pStyle w:val="Heading2"/>
        <w:spacing w:after="120" w:before="240"/>
      </w:pPr>
      <w:r>
        <w:t xml:space="preserve">Cohort bands (SPEC §7.4)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DDDDDD" w:val="clear"/>
          </w:tcPr>
          <w:p>
            <w:r>
              <w:t xml:space="preserve">Band</w:t>
            </w:r>
          </w:p>
        </w:tc>
        <w:tc>
          <w:tcPr>
            <w:tcW w:type="dxa" w:w="3000"/>
            <w:shd w:fill="DDDDDD" w:val="clear"/>
          </w:tcPr>
          <w:p>
            <w:r>
              <w:t xml:space="preserve">Typical size</w:t>
            </w:r>
          </w:p>
        </w:tc>
        <w:tc>
          <w:tcPr>
            <w:tcW w:type="dxa" w:w="3000"/>
            <w:shd w:fill="DDDDDD" w:val="clear"/>
          </w:tcPr>
          <w:p>
            <w:r>
              <w:t xml:space="preserve">What changes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Full (12–20)</w:t>
            </w:r>
          </w:p>
        </w:tc>
        <w:tc>
          <w:tcPr>
            <w:tcW w:type="dxa" w:w="3000"/>
          </w:tcPr>
          <w:p>
            <w:r>
              <w:t xml:space="preserve">the size this case is written for</w:t>
            </w:r>
          </w:p>
        </w:tc>
        <w:tc>
          <w:tcPr>
            <w:tcW w:type="dxa" w:w="3000"/>
          </w:tcPr>
          <w:p>
            <w:r>
              <w:t xml:space="preserve">Anchors and the 45-minute timed plan run as written above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Compressed (6–11)</w:t>
            </w:r>
          </w:p>
        </w:tc>
        <w:tc>
          <w:tcPr>
            <w:tcW w:type="dxa" w:w="3000"/>
          </w:tcPr>
          <w:p>
            <w:r>
              <w:t xml:space="preserve">smaller room</w:t>
            </w:r>
          </w:p>
        </w:tc>
        <w:tc>
          <w:tcPr>
            <w:tcW w:type="dxa" w:w="3000"/>
          </w:tcPr>
          <w:p>
            <w:r>
              <w:t xml:space="preserve">Anchors 2–3 combine into one pass; the 20:00–30:00 D3 build-out runs as a single worked example instead of small-group work; total runtime shortens proportionally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1:1 / pair (1–2)</w:t>
            </w:r>
          </w:p>
        </w:tc>
        <w:tc>
          <w:tcPr>
            <w:tcW w:type="dxa" w:w="3000"/>
          </w:tcPr>
          <w:p>
            <w:r>
              <w:t xml:space="preserve">tutoring context</w:t>
            </w:r>
          </w:p>
        </w:tc>
        <w:tc>
          <w:tcPr>
            <w:tcW w:type="dxa" w:w="3000"/>
          </w:tcPr>
          <w:p>
            <w:r>
              <w:t xml:space="preserve">No vote at Anchor 1 — ask for a stated initial position and why instead; the facilitator plays devil's advocate directly rather than cold-calling the room; the MA1 pressure-test (30:00–38:00) still runs in full, since it is the single most important move in the case</w:t>
            </w:r>
          </w:p>
        </w:tc>
      </w:tr>
    </w:tbl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2026-09-05T22:43:24.947Z</dcterms:created>
  <dcterms:modified xsi:type="dcterms:W3CDTF">2026-09-05T22:43:24.947Z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