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How Long Can We Last</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Renata Osei sits cross-legged on the kitchen floor, back against the dishwasher, laptop balanced on her knees because the table is covered in mail. Two browser tabs are open. One is their savings account, balance sitting exactly where it landed after last month's transfer. The other is a brokerage sign-up page she has restarted three times without finishing, because every time she gets to the contribution amount field, she stops.</w:t>
      </w:r>
    </w:p>
    <w:p>
      <w:r>
        <w:t xml:space="preserve">Julian is on the porch, phone to his ear, half of a conversation drifting through the screen door — something about a project timeline, a client who "might need to push things." Renata doesn't need to hear the other half to know what that tone means. It has meant the same thing every few months since he went independent: work is about to get quiet again for a while.</w:t>
      </w:r>
    </w:p>
    <w:p>
      <w:r>
        <w:t xml:space="preserve">She pulls up the number they've been saving toward for over a year now — the one a podcast host, a coworker, and a banner ad on three different websites have all told her is the number. She has hit it. According to everything she's read, she's done. She should be moving that brokerage tab from "abandoned draft" to "submitted" tonight.</w:t>
      </w:r>
    </w:p>
    <w:p>
      <w:r>
        <w:t xml:space="preserve">Instead she opens a blank spreadsheet, types "last time work got quiet, it lasted —" and stops typing, because she genuinely doesn't remember. She minimizes the brokerage tab instead of closing it, pours the last of the coffee, and starts pulling up bank statements from the porch, one slow month at a time, to find out.</w:t>
      </w:r>
    </w:p>
    <w:p>
      <w:pPr>
        <w:pStyle w:val="Heading2"/>
        <w:spacing w:after="120" w:before="240"/>
      </w:pPr>
      <w:r>
        <w:t xml:space="preserve">Background</w:t>
      </w:r>
    </w:p>
    <w:p>
      <w:r>
        <w:t xml:space="preserve">Renata Osei works full-time as a home health aide, paid a steady salary with a predictable deposit on the same day every two weeks. Her husband, Julian, has worked for the past several years as an independent graphic design and marketing consultant — paid by the project, on client timelines he does not control, with no employer, no salary, and no guaranteed minimum (SEE APPENDIX B).</w:t>
      </w:r>
    </w:p>
    <w:p>
      <w:r>
        <w:t xml:space="preserve">The household's essential monthly expenses — housing, food, utilities, healthcare, transportation, and insurance — total a fixed amount every month regardless of how either paycheck lands (SEE APPENDIX A). Renata's salary alone does not cover that full amount; the household depends on Julian's freelance income to close the gap and, in an ordinary month, to leave something left over.</w:t>
      </w:r>
    </w:p>
    <w:p>
      <w:r>
        <w:t xml:space="preserve">The couple built a joint emergency fund over the past year specifically to protect against the months Julian's freelance pipeline runs dry — a real, recurring pattern in his business, not a hypothetical one (SEE APPENDIX B). Now that the fund has reached a size that matches "the number" cited by nearly every article, podcast, and banner ad Renata has ever encountered — three months of the household's essential expenses — she and Julian must decide whether that number is actually the right one for their specific situation, or whether it only sounds right because it is the number everyone quotes (SEE APPENDIX C).</w:t>
      </w:r>
    </w:p>
    <w:p>
      <w:r>
        <w:t xml:space="preserve">Whichever fund size they land on, all money saved beyond it is money the couple has agreed to start investing in a joint brokerage account instead of continuing to add to savings. The two options under debate go by the names Renata and Julian have been using at the kitchen table for weeks: </w:t>
      </w:r>
      <w:r>
        <w:rPr>
          <w:b/>
          <w:bCs/>
        </w:rPr>
        <w:t xml:space="preserve">the Rule-of-Thumb Fund</w:t>
      </w:r>
      <w:r>
        <w:t xml:space="preserve"> and </w:t>
      </w:r>
      <w:r>
        <w:rPr>
          <w:b/>
          <w:bCs/>
        </w:rPr>
        <w:t xml:space="preserve">the Real-Stretch Fund</w:t>
      </w:r>
      <w:r>
        <w:t xml:space="preserve">. Neither can be built or verified without doing the underlying math — SEE APPENDIX C for how each is calculated, APPENDIX D for the assumptions behind the household's numbers, and APPENDIX F for where every figure in this case comes from (optional further reading is in APPENDIX E). The vocabulary and "how to…" skills this case will ask of you are listed in </w:t>
      </w:r>
      <w:r>
        <w:rPr>
          <w:b/>
          <w:bCs/>
        </w:rPr>
        <w:t xml:space="preserve">Appendix G</w:t>
      </w:r>
      <w:r>
        <w:t xml:space="preserve"> — that is where Challenge 1 sends you.</w:t>
      </w:r>
    </w:p>
    <w:p>
      <w:pPr>
        <w:pStyle w:val="Heading2"/>
        <w:spacing w:after="120" w:before="240"/>
      </w:pPr>
      <w:r>
        <w:t xml:space="preserve">Dilemma</w:t>
      </w:r>
    </w:p>
    <w:p>
      <w:r>
        <w:t xml:space="preserve">You are Renata Osei.</w:t>
      </w:r>
    </w:p>
    <w:p>
      <w:r>
        <w:t xml:space="preserve">Do you:</w:t>
      </w:r>
    </w:p>
    <w:p>
      <w:r>
        <w:rPr>
          <w:b/>
          <w:bCs/>
        </w:rPr>
        <w:t xml:space="preserve">A.)</w:t>
      </w:r>
      <w:r>
        <w:t xml:space="preserve"> Stop adding to savings once the fund reaches </w:t>
      </w:r>
      <w:r>
        <w:rPr>
          <w:b/>
          <w:bCs/>
        </w:rPr>
        <w:t xml:space="preserve">the Rule-of-Thumb Fund</w:t>
      </w:r>
      <w:r>
        <w:t xml:space="preserve"> — the widely quoted flat target of three months of the household's essential expenses — and invest everything saved beyond that starting now </w:t>
      </w:r>
      <w:r>
        <w:rPr>
          <w:b/>
          <w:bCs/>
        </w:rPr>
        <w:t xml:space="preserve">OR</w:t>
      </w:r>
    </w:p>
    <w:p>
      <w:r>
        <w:rPr>
          <w:b/>
          <w:bCs/>
        </w:rPr>
        <w:t xml:space="preserve">B.)</w:t>
      </w:r>
      <w:r>
        <w:t xml:space="preserve"> Keep adding to savings until the fund reaches </w:t>
      </w:r>
      <w:r>
        <w:rPr>
          <w:b/>
          <w:bCs/>
        </w:rPr>
        <w:t xml:space="preserve">the Real-Stretch Fund</w:t>
      </w:r>
      <w:r>
        <w:t xml:space="preserve"> — a target sized specifically to this household's own documented pattern of freelance income dry spells — before investing anything beyond it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720"/>
      </w:pPr>
      <w:r>
        <w:t xml:space="preserve">- </w:t>
      </w:r>
      <w:r>
        <w:rPr>
          <w:b/>
          <w:bCs/>
        </w:rPr>
        <w:t xml:space="preserve">D1 — An essential-expense percent breakdown.</w:t>
      </w:r>
      <w:r>
        <w:t xml:space="preserve"> Using Appendix A's dollar figures, calculate what percent of the household's total monthly essential expenses each category (housing, transportation, food, insurance/pensions, healthcare, utilities) represents, and identify the single largest category.</w:t>
      </w:r>
    </w:p>
    <w:p>
      <w:pPr>
        <w:ind w:left="720"/>
      </w:pPr>
      <w:r>
        <w:t xml:space="preserve">- </w:t>
      </w:r>
      <w:r>
        <w:rPr>
          <w:b/>
          <w:bCs/>
        </w:rPr>
        <w:t xml:space="preserve">D2 — Julian's typical monthly freelance income, derived (not looked up).</w:t>
      </w:r>
      <w:r>
        <w:t xml:space="preserve"> Appendix B gives Julian's invoiced total for his slowest documented month, along with what percent of a typical month that figure represents. Use those two numbers to calculate Julian's typical monthly freelance income.</w:t>
      </w:r>
    </w:p>
    <w:p>
      <w:pPr>
        <w:ind w:left="720"/>
      </w:pPr>
      <w:r>
        <w:t xml:space="preserve">- </w:t>
      </w:r>
      <w:r>
        <w:rPr>
          <w:b/>
          <w:bCs/>
        </w:rPr>
        <w:t xml:space="preserve">D3 — The dollar size of both fund options.</w:t>
      </w:r>
      <w:r>
        <w:t xml:space="preserve"> Using a proportion (dollars needed per month of coverage, scaled to the number of months required), calculate the total size of the Rule-of-Thumb Fund (Option A) and the Real-Stretch Fund (Option B), showing the proportion you set up for each.</w:t>
      </w:r>
    </w:p>
    <w:p>
      <w:pPr>
        <w:ind w:left="720"/>
      </w:pPr>
      <w:r>
        <w:t xml:space="preserve">- </w:t>
      </w:r>
      <w:r>
        <w:rPr>
          <w:b/>
          <w:bCs/>
        </w:rPr>
        <w:t xml:space="preserve">D4 — A survival test for each fund.</w:t>
      </w:r>
      <w:r>
        <w:t xml:space="preserve"> For each fund size from D3, use a proportion to calculate exactly how many months of coverage it provides against the household's documented monthly shortfall during a dry spell (Appendix C), and calculate what percent of the full dry spell in Appendix C that represents. State plainly whether each option leaves the household short, and by how much.</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Osei Household's Essential Monthly Expenses</w:t>
      </w:r>
    </w:p>
    <w:p>
      <w:r>
        <w:t xml:space="preserve">Figures below are national averages for essential household spending categories, used as this household's budget (SEE APPENDIX E for sourcing).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Category</w:t>
            </w:r>
          </w:p>
        </w:tc>
        <w:tc>
          <w:tcPr>
            <w:tcW w:type="dxa" w:w="3000"/>
            <w:shd w:fill="DDDDDD" w:val="clear"/>
          </w:tcPr>
          <w:p>
            <w:r>
              <w:t xml:space="preserve">Average annual amount</w:t>
            </w:r>
          </w:p>
        </w:tc>
        <w:tc>
          <w:tcPr>
            <w:tcW w:type="dxa" w:w="3000"/>
            <w:shd w:fill="DDDDDD" w:val="clear"/>
          </w:tcPr>
          <w:p>
            <w:r>
              <w:t xml:space="preserve">Average monthly amount</w:t>
            </w:r>
          </w:p>
        </w:tc>
      </w:tr>
      <w:tr>
        <w:tc>
          <w:tcPr>
            <w:tcW w:type="dxa" w:w="3000"/>
          </w:tcPr>
          <w:p>
            <w:r>
              <w:t xml:space="preserve">Housing</w:t>
            </w:r>
          </w:p>
        </w:tc>
        <w:tc>
          <w:tcPr>
            <w:tcW w:type="dxa" w:w="3000"/>
          </w:tcPr>
          <w:p>
            <w:r>
              <w:t xml:space="preserve">$26,266 [S1]</w:t>
            </w:r>
          </w:p>
        </w:tc>
        <w:tc>
          <w:tcPr>
            <w:tcW w:type="dxa" w:w="3000"/>
          </w:tcPr>
          <w:p>
            <w:r>
              <w:t xml:space="preserve">$2,188.83</w:t>
            </w:r>
          </w:p>
        </w:tc>
      </w:tr>
      <w:tr>
        <w:tc>
          <w:tcPr>
            <w:tcW w:type="dxa" w:w="3000"/>
          </w:tcPr>
          <w:p>
            <w:r>
              <w:t xml:space="preserve">Transportation</w:t>
            </w:r>
          </w:p>
        </w:tc>
        <w:tc>
          <w:tcPr>
            <w:tcW w:type="dxa" w:w="3000"/>
          </w:tcPr>
          <w:p>
            <w:r>
              <w:t xml:space="preserve">$13,318 [S1]</w:t>
            </w:r>
          </w:p>
        </w:tc>
        <w:tc>
          <w:tcPr>
            <w:tcW w:type="dxa" w:w="3000"/>
          </w:tcPr>
          <w:p>
            <w:r>
              <w:t xml:space="preserve">$1,109.83</w:t>
            </w:r>
          </w:p>
        </w:tc>
      </w:tr>
      <w:tr>
        <w:tc>
          <w:tcPr>
            <w:tcW w:type="dxa" w:w="3000"/>
          </w:tcPr>
          <w:p>
            <w:r>
              <w:t xml:space="preserve">Food</w:t>
            </w:r>
          </w:p>
        </w:tc>
        <w:tc>
          <w:tcPr>
            <w:tcW w:type="dxa" w:w="3000"/>
          </w:tcPr>
          <w:p>
            <w:r>
              <w:t xml:space="preserve">$10,169 [S1]</w:t>
            </w:r>
          </w:p>
        </w:tc>
        <w:tc>
          <w:tcPr>
            <w:tcW w:type="dxa" w:w="3000"/>
          </w:tcPr>
          <w:p>
            <w:r>
              <w:t xml:space="preserve">$847.42</w:t>
            </w:r>
          </w:p>
        </w:tc>
      </w:tr>
      <w:tr>
        <w:tc>
          <w:tcPr>
            <w:tcW w:type="dxa" w:w="3000"/>
          </w:tcPr>
          <w:p>
            <w:r>
              <w:t xml:space="preserve">Personal insurance and pensions</w:t>
            </w:r>
          </w:p>
        </w:tc>
        <w:tc>
          <w:tcPr>
            <w:tcW w:type="dxa" w:w="3000"/>
          </w:tcPr>
          <w:p>
            <w:r>
              <w:t xml:space="preserve">$9,797 [S1]</w:t>
            </w:r>
          </w:p>
        </w:tc>
        <w:tc>
          <w:tcPr>
            <w:tcW w:type="dxa" w:w="3000"/>
          </w:tcPr>
          <w:p>
            <w:r>
              <w:t xml:space="preserve">$816.42</w:t>
            </w:r>
          </w:p>
        </w:tc>
      </w:tr>
      <w:tr>
        <w:tc>
          <w:tcPr>
            <w:tcW w:type="dxa" w:w="3000"/>
          </w:tcPr>
          <w:p>
            <w:r>
              <w:t xml:space="preserve">Healthcare</w:t>
            </w:r>
          </w:p>
        </w:tc>
        <w:tc>
          <w:tcPr>
            <w:tcW w:type="dxa" w:w="3000"/>
          </w:tcPr>
          <w:p>
            <w:r>
              <w:t xml:space="preserve">$6,197 [S1]</w:t>
            </w:r>
          </w:p>
        </w:tc>
        <w:tc>
          <w:tcPr>
            <w:tcW w:type="dxa" w:w="3000"/>
          </w:tcPr>
          <w:p>
            <w:r>
              <w:t xml:space="preserve">$516.42</w:t>
            </w:r>
          </w:p>
        </w:tc>
      </w:tr>
      <w:tr>
        <w:tc>
          <w:tcPr>
            <w:tcW w:type="dxa" w:w="3000"/>
          </w:tcPr>
          <w:p>
            <w:r>
              <w:t xml:space="preserve">Utilities, fuels, and public services</w:t>
            </w:r>
          </w:p>
        </w:tc>
        <w:tc>
          <w:tcPr>
            <w:tcW w:type="dxa" w:w="3000"/>
          </w:tcPr>
          <w:p>
            <w:r>
              <w:t xml:space="preserve">$4,736 [S1]</w:t>
            </w:r>
          </w:p>
        </w:tc>
        <w:tc>
          <w:tcPr>
            <w:tcW w:type="dxa" w:w="3000"/>
          </w:tcPr>
          <w:p>
            <w:r>
              <w:t xml:space="preserve">$394.67</w:t>
            </w:r>
          </w:p>
        </w:tc>
      </w:tr>
      <w:tr>
        <w:tc>
          <w:tcPr>
            <w:tcW w:type="dxa" w:w="3000"/>
          </w:tcPr>
          <w:p>
            <w:r>
              <w:rPr>
                <w:b/>
                <w:bCs/>
              </w:rPr>
              <w:t xml:space="preserve">Total essential expenses</w:t>
            </w:r>
          </w:p>
        </w:tc>
        <w:tc>
          <w:tcPr>
            <w:tcW w:type="dxa" w:w="3000"/>
          </w:tcPr>
          <w:p>
            <w:r>
              <w:rPr>
                <w:b/>
                <w:bCs/>
              </w:rPr>
              <w:t xml:space="preserve">$70,483</w:t>
            </w:r>
          </w:p>
        </w:tc>
        <w:tc>
          <w:tcPr>
            <w:tcW w:type="dxa" w:w="3000"/>
          </w:tcPr>
          <w:p>
            <w:r>
              <w:rPr>
                <w:b/>
                <w:bCs/>
              </w:rPr>
              <w:t xml:space="preserve">$5,874 (rounded)</w:t>
            </w:r>
          </w:p>
        </w:tc>
      </w:tr>
    </w:tbl>
    <w:p/>
    <w:p>
      <w:r>
        <w:t xml:space="preserve">Not included above: apparel, entertainment, alcohol/tobacco, education, and other discretionary or irregular categories — those are not part of this household's fixed monthly obligation and are not tracked in this case.</w:t>
      </w:r>
    </w:p>
    <w:p>
      <w:pPr>
        <w:pStyle w:val="Heading2"/>
        <w:spacing w:after="120" w:before="240"/>
      </w:pPr>
      <w:r>
        <w:t xml:space="preserve">Appendix B: Household Income Records</w:t>
      </w:r>
    </w:p>
    <w:p>
      <w:r>
        <w:rPr>
          <w:b/>
          <w:bCs/>
        </w:rPr>
        <w:t xml:space="preserve">Renata's income (salaried, biweekly).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Occupation</w:t>
            </w:r>
          </w:p>
        </w:tc>
        <w:tc>
          <w:tcPr>
            <w:tcW w:type="dxa" w:w="4500"/>
          </w:tcPr>
          <w:p>
            <w:r>
              <w:t xml:space="preserve">Home health and personal care aide, full-time</w:t>
            </w:r>
          </w:p>
        </w:tc>
      </w:tr>
      <w:tr>
        <w:tc>
          <w:tcPr>
            <w:tcW w:type="dxa" w:w="4500"/>
          </w:tcPr>
          <w:p>
            <w:r>
              <w:t xml:space="preserve">Median annual wage</w:t>
            </w:r>
          </w:p>
        </w:tc>
        <w:tc>
          <w:tcPr>
            <w:tcW w:type="dxa" w:w="4500"/>
          </w:tcPr>
          <w:p>
            <w:r>
              <w:t xml:space="preserve">$35,800 [S2]</w:t>
            </w:r>
          </w:p>
        </w:tc>
      </w:tr>
      <w:tr>
        <w:tc>
          <w:tcPr>
            <w:tcW w:type="dxa" w:w="4500"/>
          </w:tcPr>
          <w:p>
            <w:r>
              <w:t xml:space="preserve">Monthly income (fixed)</w:t>
            </w:r>
          </w:p>
        </w:tc>
        <w:tc>
          <w:tcPr>
            <w:tcW w:type="dxa" w:w="4500"/>
          </w:tcPr>
          <w:p>
            <w:r>
              <w:t xml:space="preserve">$2,983 (rounded)</w:t>
            </w:r>
          </w:p>
        </w:tc>
      </w:tr>
    </w:tbl>
    <w:p/>
    <w:p>
      <w:r>
        <w:rPr>
          <w:b/>
          <w:bCs/>
        </w:rPr>
        <w:t xml:space="preserve">Julian's income (freelance, project-based, no employer).</w:t>
      </w:r>
    </w:p>
    <w:p>
      <w:r>
        <w:t xml:space="preserve">Julian tracks every invoice in his own bookkeeping software. Two figures from his records matter for this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Invoiced total, Julian's slowest documented month</w:t>
            </w:r>
          </w:p>
        </w:tc>
        <w:tc>
          <w:tcPr>
            <w:tcW w:type="dxa" w:w="4500"/>
          </w:tcPr>
          <w:p>
            <w:r>
              <w:t xml:space="preserve">$756</w:t>
            </w:r>
          </w:p>
        </w:tc>
      </w:tr>
      <w:tr>
        <w:tc>
          <w:tcPr>
            <w:tcW w:type="dxa" w:w="4500"/>
          </w:tcPr>
          <w:p>
            <w:r>
              <w:t xml:space="preserve">That amount, as a percent of Julian's typical month</w:t>
            </w:r>
          </w:p>
        </w:tc>
        <w:tc>
          <w:tcPr>
            <w:tcW w:type="dxa" w:w="4500"/>
          </w:tcPr>
          <w:p>
            <w:r>
              <w:t xml:space="preserve">21% [MA1]</w:t>
            </w:r>
          </w:p>
        </w:tc>
      </w:tr>
      <w:tr>
        <w:tc>
          <w:tcPr>
            <w:tcW w:type="dxa" w:w="4500"/>
          </w:tcPr>
          <w:p>
            <w:r>
              <w:t xml:space="preserve">Julian's typical monthly freelance income</w:t>
            </w:r>
          </w:p>
        </w:tc>
        <w:tc>
          <w:tcPr>
            <w:tcW w:type="dxa" w:w="4500"/>
          </w:tcPr>
          <w:p>
            <w:r>
              <w:rPr>
                <w:i/>
                <w:iCs/>
              </w:rPr>
              <w:t xml:space="preserve">calculate this — see Challenge 3, D2</w:t>
            </w:r>
          </w:p>
        </w:tc>
      </w:tr>
    </w:tbl>
    <w:p/>
    <w:p>
      <w:r>
        <w:t xml:space="preserve">Renata's income alone ($2,983/month) does not cover the household's essential expenses ($5,874/month, Appendix A) — Julian's freelance income closes the remaining gap every month, and in a typical month leaves a modest amount left over.</w:t>
      </w:r>
    </w:p>
    <w:p>
      <w:pPr>
        <w:pStyle w:val="Heading2"/>
        <w:spacing w:after="120" w:before="240"/>
      </w:pPr>
      <w:r>
        <w:t xml:space="preserve">Appendix C: The Dry Spell, and How Each Fund Is Calculated</w:t>
      </w:r>
    </w:p>
    <w:p>
      <w:r>
        <w:rPr>
          <w:b/>
          <w:bCs/>
        </w:rPr>
        <w:t xml:space="preserve">The dry spell this case tests against:</w:t>
      </w:r>
      <w:r>
        <w:t xml:space="preserve"> based on the household's own multi-year invoicing history, Julian's freelance income has gone to </w:t>
      </w:r>
      <w:r>
        <w:rPr>
          <w:b/>
          <w:bCs/>
        </w:rPr>
        <w:t xml:space="preserve">$0 for 7 consecutive months</w:t>
      </w:r>
      <w:r>
        <w:t xml:space="preserve"> during the worst stretch on record [MA2]. Renata's salaried income keeps arriving on schedule throughout — it is Julian's income, not the household's total income, that stops.</w:t>
      </w:r>
    </w:p>
    <w:p>
      <w:r>
        <w:rPr>
          <w:b/>
          <w:bCs/>
        </w:rPr>
        <w:t xml:space="preserve">How the Rule-of-Thumb Fund (Option A) is calculated:</w:t>
      </w:r>
      <w:r>
        <w:t xml:space="preserve"> the flat, widely quoted rule — save 3 months of the household's total essential expenses (Appendix A), regardless of where the household's income actually comes from.</w:t>
      </w:r>
    </w:p>
    <w:p>
      <w:r>
        <w:rPr>
          <w:b/>
          <w:bCs/>
        </w:rPr>
        <w:t xml:space="preserve">How the Real-Stretch Fund (Option B) is calculated:</w:t>
      </w:r>
      <w:r>
        <w:t xml:space="preserve"> size the fund to cover the household's actual monthly shortfall during a dry spell — essential expenses minus Renata's income alone, since Julian's income is $0 — for the full 7 months documented above.</w:t>
      </w:r>
    </w:p>
    <w:p>
      <w:r>
        <w:t xml:space="preserve">Both calculations use a proportion: a fund that provides a fixed number of dollars of coverage per month of protection, scaled up to however many months are needed. Challenge 3's D3 and D4 ask you to carry out both calculations and then test each fund against the 7-month dry spell above.</w:t>
      </w:r>
    </w:p>
    <w:p>
      <w:pPr>
        <w:pStyle w:val="Heading2"/>
        <w:spacing w:after="120" w:before="240"/>
      </w:pPr>
      <w:r>
        <w:t xml:space="preserve">Appendix D: Modeling Assumptions</w:t>
      </w:r>
    </w:p>
    <w:p>
      <w:pPr>
        <w:ind w:left="480"/>
      </w:pPr>
      <w:r>
        <w:t xml:space="preserve">These figures are </w:t>
      </w:r>
      <w:r>
        <w:rPr>
          <w:b/>
          <w:bCs/>
        </w:rPr>
        <w:t xml:space="preserve">not sourced</w:t>
      </w:r>
      <w:r>
        <w:t xml:space="preserve"> from an outside publication. They are stated scenario assumptions chosen by the case author, each with a real basis named below.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Julian's slow-month invoice total, as a percent of his typical month</w:t>
            </w:r>
          </w:p>
        </w:tc>
        <w:tc>
          <w:tcPr>
            <w:tcW w:type="dxa" w:w="1800"/>
          </w:tcPr>
          <w:p>
            <w:r>
              <w:t xml:space="preserve">21%</w:t>
            </w:r>
          </w:p>
        </w:tc>
        <w:tc>
          <w:tcPr>
            <w:tcW w:type="dxa" w:w="1800"/>
          </w:tcPr>
          <w:p>
            <w:r>
              <w:t xml:space="preserve">This case's own household record (Appendix B), chosen to give Challenge 3's D2 a clean, calculable relationship. No public dataset publishes a "percent of typical month" figure for an individual freelancer's worst month specifically. The general magnitude (a swing near 21%) is informed by JPMorgan Chase Institute's finding that the vast majority of young, bottom-income-quintile, or Western workers experience month-to-month total-income swings exceeding 30% [S4] — establishing that a swing in this broad range is a realistic magnitude for a volatile earner, though this case's specific 21% figure and its "percent of typical" framing are this case's own chosen value, not a direct citation.</w:t>
            </w:r>
          </w:p>
        </w:tc>
        <w:tc>
          <w:tcPr>
            <w:tcW w:type="dxa" w:w="1800"/>
          </w:tcPr>
          <w:p>
            <w:r>
              <w:t xml:space="preserve">Changing this percent changes the </w:t>
            </w:r>
            <w:r>
              <w:rPr>
                <w:i/>
                <w:iCs/>
              </w:rPr>
              <w:t xml:space="preserve">derived</w:t>
            </w:r>
            <w:r>
              <w:t xml:space="preserve"> value of Julian's typical monthly income in D2, which does not otherwise appear anywhere else in this case — it plays no role in sizing either fund in D3/D4.</w:t>
            </w:r>
          </w:p>
        </w:tc>
      </w:tr>
      <w:tr>
        <w:tc>
          <w:tcPr>
            <w:tcW w:type="dxa" w:w="1800"/>
          </w:tcPr>
          <w:p>
            <w:r>
              <w:t xml:space="preserve">MA2</w:t>
            </w:r>
          </w:p>
        </w:tc>
        <w:tc>
          <w:tcPr>
            <w:tcW w:type="dxa" w:w="1800"/>
          </w:tcPr>
          <w:p>
            <w:r>
              <w:t xml:space="preserve">Length and severity of Julian's documented dry spell</w:t>
            </w:r>
          </w:p>
        </w:tc>
        <w:tc>
          <w:tcPr>
            <w:tcW w:type="dxa" w:w="1800"/>
          </w:tcPr>
          <w:p>
            <w:r>
              <w:t xml:space="preserve">7 consecutive months at $0 freelance income</w:t>
            </w:r>
          </w:p>
        </w:tc>
        <w:tc>
          <w:tcPr>
            <w:tcW w:type="dxa" w:w="1800"/>
          </w:tcPr>
          <w:p>
            <w:r>
              <w:t xml:space="preserve">No public dataset reports an exact consecutive-month "income fully stops" duration for freelance workers generally. This case's 7-month, complete-stop scenario is informed by two real findings: the Federal Reserve's 2024 household survey, which found 56% of self-employed adults (excluding gig-platform work) report their income varies from month to month, versus 26% of people who work for someone else [S3] — establishing that this kind of variability is a persistent pattern, not a one-off; and the JPMorgan Chase Institute's 2018 Online Platform Economy report, which found 58% of transportation (rideshare-style) platform earners had their platform earnings concentrated in three or fewer months of the year [S5] — indicating that many non-salaried earners go multiple consecutive months with little or no income from a given income source. Neither source reports this exact combination of length and severity for a project-based freelance consultant specifically; the specific 7-month, $0 scenario is this case's own stated choice, disclosed here rather than presented as a direct citation.</w:t>
            </w:r>
          </w:p>
        </w:tc>
        <w:tc>
          <w:tcPr>
            <w:tcW w:type="dxa" w:w="1800"/>
          </w:tcPr>
          <w:p>
            <w:r>
              <w:t xml:space="preserve">This is the single assumption most likely to change which option wins. A shorter or less severe dry spell narrows the gap between the two funds; a longer or more severe one widens it.</w:t>
            </w:r>
          </w:p>
        </w:tc>
      </w:tr>
    </w:tbl>
    <w:p/>
    <w:p>
      <w:pPr>
        <w:pStyle w:val="Heading2"/>
        <w:spacing w:after="120" w:before="240"/>
      </w:pPr>
      <w:r>
        <w:t xml:space="preserve">Appendix E: Learn More</w:t>
      </w:r>
    </w:p>
    <w:p>
      <w:r>
        <w:t xml:space="preserve">Want to go beyond the required math? These are real, freely available resources — not required for any Challenge, but useful if you want more background.</w:t>
      </w:r>
    </w:p>
    <w:p>
      <w:pPr>
        <w:ind w:left="360"/>
      </w:pPr>
      <w:r>
        <w:t xml:space="preserve">- </w:t>
      </w:r>
      <w:hyperlink w:history="1" r:id="rIdryiarjcjdet0fujggpt4k">
        <w:r>
          <w:rPr>
            <w:rStyle w:val="Hyperlink"/>
          </w:rPr>
          <w:t xml:space="preserve">Ratio — Wikipedia</w:t>
        </w:r>
      </w:hyperlink>
      <w:r>
        <w:t xml:space="preserve"> — background on ratios, used throughout Challenge 3's D3 and D4.</w:t>
      </w:r>
    </w:p>
    <w:p>
      <w:pPr>
        <w:ind w:left="360"/>
      </w:pPr>
      <w:r>
        <w:t xml:space="preserve">- </w:t>
      </w:r>
      <w:hyperlink w:history="1" r:id="rIdbwqn03d0epxto3a3gpatg">
        <w:r>
          <w:rPr>
            <w:rStyle w:val="Hyperlink"/>
          </w:rPr>
          <w:t xml:space="preserve">Proportionality (mathematics) — Wikipedia</w:t>
        </w:r>
      </w:hyperlink>
      <w:r>
        <w:t xml:space="preserve">) — background on proportions and scaling one quantity to another.</w:t>
      </w:r>
    </w:p>
    <w:p>
      <w:pPr>
        <w:ind w:left="360"/>
      </w:pPr>
      <w:r>
        <w:t xml:space="preserve">- </w:t>
      </w:r>
      <w:hyperlink w:history="1" r:id="rId1d-knq1ntce-iyxv_nd0i">
        <w:r>
          <w:rPr>
            <w:rStyle w:val="Hyperlink"/>
          </w:rPr>
          <w:t xml:space="preserve">Do You Really Need to Save Three to Six Months' Worth of Expenses? — Experian</w:t>
        </w:r>
      </w:hyperlink>
      <w:r>
        <w:t xml:space="preserve"> — a real, widely read consumer-finance explainer on the "3 to 6 months" convention this case's Option A is drawn from.</w:t>
      </w:r>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Average annual household spending by category: housing, transportation, food, personal insurance/pensions, healthcare, utilities</w:t>
            </w:r>
          </w:p>
        </w:tc>
        <w:tc>
          <w:tcPr>
            <w:tcW w:type="dxa" w:w="1500"/>
          </w:tcPr>
          <w:p>
            <w:r>
              <w:t xml:space="preserve">See Appendix A</w:t>
            </w:r>
          </w:p>
        </w:tc>
        <w:tc>
          <w:tcPr>
            <w:tcW w:type="dxa" w:w="1500"/>
          </w:tcPr>
          <w:p>
            <w:r>
              <w:t xml:space="preserve">U.S. Bureau of Labor Statistics — </w:t>
            </w:r>
            <w:hyperlink w:history="1" r:id="rId_xntmguwfybnx3kik3djm">
              <w:r>
                <w:rPr>
                  <w:rStyle w:val="Hyperlink"/>
                </w:rPr>
                <w:t xml:space="preserve">Consumer Expenditures in 2024</w:t>
              </w:r>
            </w:hyperlink>
          </w:p>
        </w:tc>
        <w:tc>
          <w:tcPr>
            <w:tcW w:type="dxa" w:w="1500"/>
          </w:tcPr>
          <w:p>
            <w:r>
              <w:t xml:space="preserve">2024 data, published 2025-12-19</w:t>
            </w:r>
          </w:p>
        </w:tc>
        <w:tc>
          <w:tcPr>
            <w:tcW w:type="dxa" w:w="1500"/>
          </w:tcPr>
          <w:p>
            <w:r>
              <w:t xml:space="preserve">MEDIUM — real, primary, dated national average across all U.S. consumer units; a proxy for this specific fictional household's actual spending, and not location- or household-size-specific.</w:t>
            </w:r>
          </w:p>
        </w:tc>
      </w:tr>
      <w:tr>
        <w:tc>
          <w:tcPr>
            <w:tcW w:type="dxa" w:w="1500"/>
          </w:tcPr>
          <w:p>
            <w:r>
              <w:t xml:space="preserve">S2</w:t>
            </w:r>
          </w:p>
        </w:tc>
        <w:tc>
          <w:tcPr>
            <w:tcW w:type="dxa" w:w="1500"/>
          </w:tcPr>
          <w:p>
            <w:r>
              <w:t xml:space="preserve">Median annual wage, home health and personal care aides</w:t>
            </w:r>
          </w:p>
        </w:tc>
        <w:tc>
          <w:tcPr>
            <w:tcW w:type="dxa" w:w="1500"/>
          </w:tcPr>
          <w:p>
            <w:r>
              <w:t xml:space="preserve">$35,800/year</w:t>
            </w:r>
          </w:p>
        </w:tc>
        <w:tc>
          <w:tcPr>
            <w:tcW w:type="dxa" w:w="1500"/>
          </w:tcPr>
          <w:p>
            <w:r>
              <w:t xml:space="preserve">U.S. Bureau of Labor Statistics — </w:t>
            </w:r>
            <w:hyperlink w:history="1" r:id="rId7maf04qy1_s0gpsimrcwc">
              <w:r>
                <w:rPr>
                  <w:rStyle w:val="Hyperlink"/>
                </w:rPr>
                <w:t xml:space="preserve">Home Health and Personal Care Aides, Occupational Outlook Handbook</w:t>
              </w:r>
            </w:hyperlink>
          </w:p>
        </w:tc>
        <w:tc>
          <w:tcPr>
            <w:tcW w:type="dxa" w:w="1500"/>
          </w:tcPr>
          <w:p>
            <w:r>
              <w:t xml:space="preserve">May 2025</w:t>
            </w:r>
          </w:p>
        </w:tc>
        <w:tc>
          <w:tcPr>
            <w:tcW w:type="dxa" w:w="1500"/>
          </w:tcPr>
          <w:p>
            <w:r>
              <w:t xml:space="preserve">HIGH — primary government source, dated, unambiguous units, national.</w:t>
            </w:r>
          </w:p>
        </w:tc>
      </w:tr>
      <w:tr>
        <w:tc>
          <w:tcPr>
            <w:tcW w:type="dxa" w:w="1500"/>
          </w:tcPr>
          <w:p>
            <w:r>
              <w:t xml:space="preserve">S3</w:t>
            </w:r>
          </w:p>
        </w:tc>
        <w:tc>
          <w:tcPr>
            <w:tcW w:type="dxa" w:w="1500"/>
          </w:tcPr>
          <w:p>
            <w:r>
              <w:t xml:space="preserve">Percent of self-employed adults (excluding gig work) who report income varies month to month, vs. those who work for someone else</w:t>
            </w:r>
          </w:p>
        </w:tc>
        <w:tc>
          <w:tcPr>
            <w:tcW w:type="dxa" w:w="1500"/>
          </w:tcPr>
          <w:p>
            <w:r>
              <w:t xml:space="preserve">56% vs. 26%</w:t>
            </w:r>
          </w:p>
        </w:tc>
        <w:tc>
          <w:tcPr>
            <w:tcW w:type="dxa" w:w="1500"/>
          </w:tcPr>
          <w:p>
            <w:r>
              <w:t xml:space="preserve">Federal Reserve — </w:t>
            </w:r>
            <w:hyperlink w:history="1" r:id="rIdbxxlm1idikunloo_hev3g">
              <w:r>
                <w:rPr>
                  <w:rStyle w:val="Hyperlink"/>
                </w:rPr>
                <w:t xml:space="preserve">Report on the Economic Well-Being of U.S. Households in 2024, Income and Expenses</w:t>
              </w:r>
            </w:hyperlink>
          </w:p>
        </w:tc>
        <w:tc>
          <w:tcPr>
            <w:tcW w:type="dxa" w:w="1500"/>
          </w:tcPr>
          <w:p>
            <w:r>
              <w:t xml:space="preserve">Published May 2025, covers 2024 survey data</w:t>
            </w:r>
          </w:p>
        </w:tc>
        <w:tc>
          <w:tcPr>
            <w:tcW w:type="dxa" w:w="1500"/>
          </w:tcPr>
          <w:p>
            <w:r>
              <w:t xml:space="preserve">HIGH — primary source (Federal Reserve's own annual household survey, SHED), dated, nationally representative, directly addresses self-employment income variability.</w:t>
            </w:r>
          </w:p>
        </w:tc>
      </w:tr>
      <w:tr>
        <w:tc>
          <w:tcPr>
            <w:tcW w:type="dxa" w:w="1500"/>
          </w:tcPr>
          <w:p>
            <w:r>
              <w:t xml:space="preserve">S4</w:t>
            </w:r>
          </w:p>
        </w:tc>
        <w:tc>
          <w:tcPr>
            <w:tcW w:type="dxa" w:w="1500"/>
          </w:tcPr>
          <w:p>
            <w:r>
              <w:t xml:space="preserve">Percent of people (young, bottom-income-quintile, or Western workers) experiencing month-to-month total-income swings greater than 30%</w:t>
            </w:r>
          </w:p>
        </w:tc>
        <w:tc>
          <w:tcPr>
            <w:tcW w:type="dxa" w:w="1500"/>
          </w:tcPr>
          <w:p>
            <w:r>
              <w:t xml:space="preserve">Vast majority of these groups exceed a 30% swing</w:t>
            </w:r>
          </w:p>
        </w:tc>
        <w:tc>
          <w:tcPr>
            <w:tcW w:type="dxa" w:w="1500"/>
          </w:tcPr>
          <w:p>
            <w:r>
              <w:t xml:space="preserve">JPMorgan Chase Institute — </w:t>
            </w:r>
            <w:hyperlink w:history="1" r:id="rId-sigydvzpdxtudnu9gi3k">
              <w:r>
                <w:rPr>
                  <w:rStyle w:val="Hyperlink"/>
                </w:rPr>
                <w:t xml:space="preserve">Paychecks, Paydays, and the Online Platform Economy</w:t>
              </w:r>
            </w:hyperlink>
          </w:p>
        </w:tc>
        <w:tc>
          <w:tcPr>
            <w:tcW w:type="dxa" w:w="1500"/>
          </w:tcPr>
          <w:p>
            <w:r>
              <w:t xml:space="preserve">Report based on de-identified Chase account data, Oct. 2012–Mar. 2018 sample window</w:t>
            </w:r>
          </w:p>
        </w:tc>
        <w:tc>
          <w:tcPr>
            <w:tcW w:type="dxa" w:w="1500"/>
          </w:tcPr>
          <w:p>
            <w:r>
              <w:t xml:space="preserve">MEDIUM — primary research organization, real underlying bank-account data at large scale, but describes general population income volatility, not freelance/1099 earners specifically; used only as directional support inside Modeling Assumption MA1 above, never as a standalone dollar figure.</w:t>
            </w:r>
          </w:p>
        </w:tc>
      </w:tr>
      <w:tr>
        <w:tc>
          <w:tcPr>
            <w:tcW w:type="dxa" w:w="1500"/>
          </w:tcPr>
          <w:p>
            <w:r>
              <w:t xml:space="preserve">S5</w:t>
            </w:r>
          </w:p>
        </w:tc>
        <w:tc>
          <w:tcPr>
            <w:tcW w:type="dxa" w:w="1500"/>
          </w:tcPr>
          <w:p>
            <w:r>
              <w:t xml:space="preserve">Percent of transportation (rideshare-style) online-platform earners whose platform earnings were concentrated in 3 or fewer months of the year</w:t>
            </w:r>
          </w:p>
        </w:tc>
        <w:tc>
          <w:tcPr>
            <w:tcW w:type="dxa" w:w="1500"/>
          </w:tcPr>
          <w:p>
            <w:r>
              <w:t xml:space="preserve">58%</w:t>
            </w:r>
          </w:p>
        </w:tc>
        <w:tc>
          <w:tcPr>
            <w:tcW w:type="dxa" w:w="1500"/>
          </w:tcPr>
          <w:p>
            <w:r>
              <w:t xml:space="preserve">JPMorgan Chase Institute — </w:t>
            </w:r>
            <w:hyperlink w:history="1" r:id="rIdmlj3d-wnfl-bawg-yymch">
              <w:r>
                <w:rPr>
                  <w:rStyle w:val="Hyperlink"/>
                </w:rPr>
                <w:t xml:space="preserve">The Online Platform Economy (2018 report)</w:t>
              </w:r>
            </w:hyperlink>
          </w:p>
        </w:tc>
        <w:tc>
          <w:tcPr>
            <w:tcW w:type="dxa" w:w="1500"/>
          </w:tcPr>
          <w:p>
            <w:r>
              <w:t xml:space="preserve">2018 report</w:t>
            </w:r>
          </w:p>
        </w:tc>
        <w:tc>
          <w:tcPr>
            <w:tcW w:type="dxa" w:w="1500"/>
          </w:tcPr>
          <w:p>
            <w:r>
              <w:t xml:space="preserve">MEDIUM — primary research organization, real underlying bank-account data, but the studied population (rideshare-style platform workers) is a proxy for Julian's project-based freelance/1099 consulting work, not an exact population match; used only inside the disclosed Modeling Assumption MA2 above, never as a standalone constraint.</w:t>
            </w:r>
          </w:p>
        </w:tc>
      </w:tr>
    </w:tbl>
    <w:p/>
    <w:p>
      <w:pPr>
        <w:pStyle w:val="Heading2"/>
        <w:spacing w:after="120" w:before="240"/>
      </w:pPr>
      <w:r>
        <w:t xml:space="preserve">Appendix G — "How To…" Math Questions To Research</w:t>
      </w:r>
    </w:p>
    <w:p>
      <w:r>
        <w:rPr>
          <w:b/>
          <w:bCs/>
        </w:rPr>
        <w:t xml:space="preserve">Vocabulary</w:t>
      </w:r>
    </w:p>
    <w:p>
      <w:r>
        <w:t xml:space="preserve">Percent · Ratio · Proportion</w:t>
      </w:r>
    </w:p>
    <w:p>
      <w:r>
        <w:rPr>
          <w:b/>
          <w:bCs/>
        </w:rPr>
        <w:t xml:space="preserve">How to…</w:t>
      </w:r>
    </w:p>
    <w:p>
      <w:pPr>
        <w:ind w:left="360"/>
      </w:pPr>
      <w:r>
        <w:t xml:space="preserve">- How to convert numbers to percents</w:t>
      </w:r>
    </w:p>
    <w:p>
      <w:pPr>
        <w:ind w:left="360"/>
      </w:pPr>
      <w:r>
        <w:t xml:space="preserve">- How to find the percent of a number</w:t>
      </w:r>
    </w:p>
    <w:p>
      <w:pPr>
        <w:ind w:left="360"/>
      </w:pPr>
      <w:r>
        <w:t xml:space="preserve">- How to find a whole given the percent and the part of the whole</w:t>
      </w:r>
    </w:p>
    <w:p>
      <w:pPr>
        <w:ind w:left="360"/>
      </w:pPr>
      <w:r>
        <w:t xml:space="preserve">- How to find a missing amount in a proportion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iarjcjdet0fujggpt4k" Type="http://schemas.openxmlformats.org/officeDocument/2006/relationships/hyperlink" Target="https://en.wikipedia.org/wiki/Ratio" TargetMode="External"/><Relationship Id="rIdbwqn03d0epxto3a3gpatg" Type="http://schemas.openxmlformats.org/officeDocument/2006/relationships/hyperlink" Target="https://en.wikipedia.org/wiki/Proportionality_(mathematics" TargetMode="External"/><Relationship Id="rId1d-knq1ntce-iyxv_nd0i" Type="http://schemas.openxmlformats.org/officeDocument/2006/relationships/hyperlink" Target="https://www.experian.com/blogs/ask-experian/do-you-really-need-to-save-three-to-six-months-worth-of-expenses/" TargetMode="External"/><Relationship Id="rId_xntmguwfybnx3kik3djm" Type="http://schemas.openxmlformats.org/officeDocument/2006/relationships/hyperlink" Target="https://www.bls.gov/opub/reports/consumer-expenditures/2024/home.htm" TargetMode="External"/><Relationship Id="rId7maf04qy1_s0gpsimrcwc" Type="http://schemas.openxmlformats.org/officeDocument/2006/relationships/hyperlink" Target="https://www.bls.gov/ooh/healthcare/home-health-aides-and-personal-care-aides.htm" TargetMode="External"/><Relationship Id="rIdbxxlm1idikunloo_hev3g" Type="http://schemas.openxmlformats.org/officeDocument/2006/relationships/hyperlink" Target="https://www.federalreserve.gov/publications/2025-economic-well-being-of-us-households-in-2024-income-and-expenses.htm" TargetMode="External"/><Relationship Id="rId-sigydvzpdxtudnu9gi3k" Type="http://schemas.openxmlformats.org/officeDocument/2006/relationships/hyperlink" Target="https://www.jpmorganchase.com/institute/all-topics/labor-markets-and-workforce/report-paychecks-paydays-and-the-online-platform-economy" TargetMode="External"/><Relationship Id="rIdmlj3d-wnfl-bawg-yymch" Type="http://schemas.openxmlformats.org/officeDocument/2006/relationships/hyperlink" Target="https://www.jpmorganchase.com/institute/all-topics/labor-markets-and-workforce/report-ope-201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2026-09-05T22:44:37.665Z</dcterms:created>
  <dcterms:modified xsi:type="dcterms:W3CDTF">2026-09-05T22:44:37.668Z</dcterms:modified>
</cp:coreProperties>
</file>

<file path=docProps/custom.xml><?xml version="1.0" encoding="utf-8"?>
<Properties xmlns="http://schemas.openxmlformats.org/officeDocument/2006/custom-properties" xmlns:vt="http://schemas.openxmlformats.org/officeDocument/2006/docPropsVTypes"/>
</file>