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Bracket Bet</w:t>
      </w:r>
    </w:p>
    <w:p>
      <w:pPr>
        <w:spacing w:after="240"/>
        <w:jc w:val="center"/>
      </w:pPr>
      <w:r>
        <w:rPr>
          <w:i/>
          <w:iCs/>
          <w:sz w:val="22"/>
          <w:szCs w:val="22"/>
        </w:rPr>
        <w:t xml:space="preserve"/>
      </w:r>
    </w:p>
    <w:p>
      <w:r>
        <w:t xml:space="preserve">MS | Math | Case Study | 2026-27 | Adventure</w:t>
      </w:r>
    </w:p>
    <w:p>
      <w:pPr>
        <w:pStyle w:val="Heading2"/>
        <w:spacing w:after="120" w:before="240"/>
      </w:pPr>
      <w:r>
        <w:t xml:space="preserve">Overview</w:t>
      </w:r>
    </w:p>
    <w:p>
      <w:r>
        <w:t xml:space="preserve">Devon Osei has the HR portal open on a cracked phone screen, thumb hovering between two radio buttons neither of which is highlighted yet. The breakroom microwave beeps behind them — someone else's lunch, ignored. First real paycheck posts Friday, and payroll needs an answer before then or the contribution doesn't go anywhere at all.</w:t>
      </w:r>
    </w:p>
    <w:p>
      <w:r>
        <w:t xml:space="preserve">"Traditional or Roth," the enrollment screen asks, like that's a normal thing to know at twenty-four. Devon has scrolled the linked explainer twice. One button takes a tax break this year and pays the government back decades from now, whatever the government wants by then. The other button pays the government now, at the rate printed on this year's pay stub, and never again — not on a single dollar this account ever earns.</w:t>
      </w:r>
    </w:p>
    <w:p>
      <w:r>
        <w:t xml:space="preserve">A coworker leans against the doorframe, keys jangling. "Roth. Everybody says Roth."</w:t>
      </w:r>
    </w:p>
    <w:p>
      <w:r>
        <w:t xml:space="preserve">Devon doesn't move the thumb yet. </w:t>
      </w:r>
      <w:r>
        <w:rPr>
          <w:i/>
          <w:iCs/>
        </w:rPr>
        <w:t xml:space="preserve">Everybody</w:t>
      </w:r>
      <w:r>
        <w:t xml:space="preserve"> assumed a lot of things about a tax bracket forty years from now that nobody in this breakroom can actually see. The portal's countdown clock sits at the top of the screen, still running. Devon opens a blank note instead of tapping either button.</w:t>
      </w:r>
    </w:p>
    <w:p>
      <w:pPr>
        <w:pStyle w:val="Heading2"/>
        <w:spacing w:after="120" w:before="240"/>
      </w:pPr>
      <w:r>
        <w:t xml:space="preserve">Background</w:t>
      </w:r>
    </w:p>
    <w:p>
      <w:r>
        <w:t xml:space="preserve">Devon Osei is twenty-four and just converted from part-time to full-time, salaried staff — the first job with a retirement plan attached to it at all. The employer's payroll system requires a one-time election, made before the first contribution posts, of which individual retirement account type future contributions will flow into: a </w:t>
      </w:r>
      <w:r>
        <w:rPr>
          <w:b/>
          <w:bCs/>
        </w:rPr>
        <w:t xml:space="preserve">Traditional IRA</w:t>
      </w:r>
      <w:r>
        <w:t xml:space="preserve"> or a </w:t>
      </w:r>
      <w:r>
        <w:rPr>
          <w:b/>
          <w:bCs/>
        </w:rPr>
        <w:t xml:space="preserve">Roth IRA</w:t>
      </w:r>
      <w:r>
        <w:t xml:space="preserve">. Once made, the election governs every contribution Devon plans to make in the years ahead (SEE APPENDIX A). Devon is the only person accountable for this decision — there is no employer match and no advisor on the other end of the portal, only the two radio buttons and the clock.</w:t>
      </w:r>
    </w:p>
    <w:p>
      <w:r>
        <w:t xml:space="preserve">Both account types let Devon set aside the same annual amount, growing for the same number of years at the same assumed rate of return — the accounts are mechanically identical on the </w:t>
      </w:r>
      <w:r>
        <w:rPr>
          <w:i/>
          <w:iCs/>
        </w:rPr>
        <w:t xml:space="preserve">growth</w:t>
      </w:r>
      <w:r>
        <w:t xml:space="preserve"> side of the math (SEE APPENDIX B). Where they differ is </w:t>
      </w:r>
      <w:r>
        <w:rPr>
          <w:i/>
          <w:iCs/>
        </w:rPr>
        <w:t xml:space="preserve">when</w:t>
      </w:r>
      <w:r>
        <w:t xml:space="preserve"> the government takes its cut. Call the two options by what they actually do to Devon's paycheck and tax return: </w:t>
      </w:r>
      <w:r>
        <w:rPr>
          <w:b/>
          <w:bCs/>
        </w:rPr>
        <w:t xml:space="preserve">Pay Later</w:t>
      </w:r>
      <w:r>
        <w:t xml:space="preserve"> — the Traditional IRA — lets Devon deduct this year's contribution from this year's taxable income, then taxes the entire withdrawal, including every dollar of decades of growth, at whatever Devon's marginal tax rate turns out to be in retirement. </w:t>
      </w:r>
      <w:r>
        <w:rPr>
          <w:b/>
          <w:bCs/>
        </w:rPr>
        <w:t xml:space="preserve">Pay Now</w:t>
      </w:r>
      <w:r>
        <w:t xml:space="preserve"> — the Roth IRA — gives no deduction this year, so Devon pays tax on the contribution up front at this year's known rate, and then owes nothing at all on any future withdrawal, growth included (SEE APPENDIX C).</w:t>
      </w:r>
    </w:p>
    <w:p>
      <w:r>
        <w:t xml:space="preserve">The entire dilemma rides on a single number nobody in the breakroom can actually know: the tax bracket Devon will be in the year this money finally gets touched, decades from now. Today's marginal rate is fixed and knowable. The future one is not — it depends on Devon's future income, and on tax law that could look completely different by then (SEE APPENDIX D). The IRS also caps how much can go into either account in a single year, and Devon's contribution plan has to fit inside that cap regardless of which button gets pressed (SEE APPENDIX A).</w:t>
      </w:r>
    </w:p>
    <w:p>
      <w:r>
        <w:t xml:space="preserve">The vocabulary and the "how to…" skills this case will ask you to research are listed in the final appendix — that is where Challenge 1 sends you (SEE APPENDIX E). All figures in this case are sourced (SEE APPENDIX F).</w:t>
      </w:r>
    </w:p>
    <w:p>
      <w:pPr>
        <w:pStyle w:val="Heading2"/>
        <w:spacing w:after="120" w:before="240"/>
      </w:pPr>
      <w:r>
        <w:t xml:space="preserve">Dilemma</w:t>
      </w:r>
    </w:p>
    <w:p>
      <w:r>
        <w:t xml:space="preserve">You are Devon Osei.</w:t>
      </w:r>
    </w:p>
    <w:p>
      <w:r>
        <w:t xml:space="preserve">Do you:</w:t>
      </w:r>
    </w:p>
    <w:p>
      <w:r>
        <w:rPr>
          <w:b/>
          <w:bCs/>
        </w:rPr>
        <w:t xml:space="preserve">A.)</w:t>
      </w:r>
      <w:r>
        <w:t xml:space="preserve"> Elect </w:t>
      </w:r>
      <w:r>
        <w:rPr>
          <w:b/>
          <w:bCs/>
        </w:rPr>
        <w:t xml:space="preserve">Pay Later</w:t>
      </w:r>
      <w:r>
        <w:t xml:space="preserve"> — contribute to a Traditional IRA, take the tax deduction this year, and pay tax on the full withdrawal (contributions plus all growth) at retirement </w:t>
      </w:r>
      <w:r>
        <w:rPr>
          <w:b/>
          <w:bCs/>
        </w:rPr>
        <w:t xml:space="preserve">OR</w:t>
      </w:r>
    </w:p>
    <w:p>
      <w:r>
        <w:rPr>
          <w:b/>
          <w:bCs/>
        </w:rPr>
        <w:t xml:space="preserve">B.)</w:t>
      </w:r>
      <w:r>
        <w:t xml:space="preserve"> Elect </w:t>
      </w:r>
      <w:r>
        <w:rPr>
          <w:b/>
          <w:bCs/>
        </w:rPr>
        <w:t xml:space="preserve">Pay Now</w:t>
      </w:r>
      <w:r>
        <w:t xml:space="preserve"> — contribute to a Roth IRA, pay tax on the contribution this year at today's known rate, and owe nothing at all on the withdrawal at retirement</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An order-of-operations growth snapshot.</w:t>
      </w:r>
      <w:r>
        <w:t xml:space="preserve"> Using Appendix A's assumed annual contribution   and Appendix B's assumed annual rate of return, write out the full expression for what a single   year's contribution grows to after 5 years, after 15 years, and after 30 years of compounding —   built up step by step from raw multiplication (evaluate the exponent first, then multiply), not   plugged into a single formula with no shown work. Show every step for all three snapshots.</w:t>
      </w:r>
    </w:p>
    <w:p>
      <w:pPr>
        <w:ind w:left="360"/>
      </w:pPr>
      <w:r>
        <w:t xml:space="preserve">- </w:t>
      </w:r>
      <w:r>
        <w:rPr>
          <w:b/>
          <w:bCs/>
        </w:rPr>
        <w:t xml:space="preserve">D2 — The forty-year growth ladder.</w:t>
      </w:r>
      <w:r>
        <w:t xml:space="preserve"> Extend D1's method into a full compounding table carrying   that same annual contribution for the entire investing horizon in Appendix B, in increments no   larger than five years. Use the table to show, explicitly, that the pre-tax balance grows   identically whether the account is Pay Later or Pay Now — the two options do not diverge until tax   is applied.</w:t>
      </w:r>
    </w:p>
    <w:p>
      <w:pPr>
        <w:ind w:left="360"/>
      </w:pPr>
      <w:r>
        <w:t xml:space="preserve">- </w:t>
      </w:r>
      <w:r>
        <w:rPr>
          <w:b/>
          <w:bCs/>
        </w:rPr>
        <w:t xml:space="preserve">D3 — The two tax bills.</w:t>
      </w:r>
      <w:r>
        <w:t xml:space="preserve"> Using Appendix D's two assumed future-tax-rate scenarios, compute the   after-tax value at retirement for </w:t>
      </w:r>
      <w:r>
        <w:rPr>
          <w:i/>
          <w:iCs/>
        </w:rPr>
        <w:t xml:space="preserve">both</w:t>
      </w:r>
      <w:r>
        <w:t xml:space="preserve"> Pay Later and Pay Now under </w:t>
      </w:r>
      <w:r>
        <w:rPr>
          <w:i/>
          <w:iCs/>
        </w:rPr>
        <w:t xml:space="preserve">each</w:t>
      </w:r>
      <w:r>
        <w:t xml:space="preserve"> scenario (four totals   in all) — showing the percent-of-a-number arithmetic for every tax bite: today's up-front bite on   Pay Now's contribution, and retirement's withdrawal bite on Pay Later's full balance.</w:t>
      </w:r>
    </w:p>
    <w:p>
      <w:pPr>
        <w:ind w:left="360"/>
      </w:pPr>
      <w:r>
        <w:t xml:space="preserve">- </w:t>
      </w:r>
      <w:r>
        <w:rPr>
          <w:b/>
          <w:bCs/>
        </w:rPr>
        <w:t xml:space="preserve">D4 — The crossover chart.</w:t>
      </w:r>
      <w:r>
        <w:t xml:space="preserve"> An original visual display graphing after-tax retirement value   (vertical axis) against the assumed future tax rate (horizontal axis) for both Pay Later and Pay   Now on the same axes, plotting at minimum the two scenarios computed in D3, and showing where — if   anywhere — the two lines cross.</w:t>
      </w:r>
    </w:p>
    <w:p>
      <w:pPr>
        <w:ind w:left="360"/>
      </w:pPr>
      <w:r>
        <w:t xml:space="preserve">- </w:t>
      </w:r>
      <w:r>
        <w:rPr>
          <w:b/>
          <w:bCs/>
        </w:rPr>
        <w:t xml:space="preserve">D5 — A recommendation memo.</w:t>
      </w:r>
      <w:r>
        <w:t xml:space="preserve"> State which option Devon should elect before Friday's payroll   deadline (Appendix A), defended with D1–D4. Your memo must name, explicitly, the one number your   recommendation depends on most, and state what value that number would have to take for your   recommendation to flip.</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Devon's Contribution Plan and the Friday Deadline</w:t>
      </w:r>
    </w:p>
    <w:p>
      <w:r>
        <w:t xml:space="preserve">The concrete numbers behind the election Devon has to make before payroll runs.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Devon's planned annual contribution amount</w:t>
            </w:r>
          </w:p>
        </w:tc>
        <w:tc>
          <w:tcPr>
            <w:tcW w:type="dxa" w:w="4500"/>
          </w:tcPr>
          <w:p>
            <w:r>
              <w:t xml:space="preserve">$3,000/year [S1]</w:t>
            </w:r>
          </w:p>
        </w:tc>
      </w:tr>
      <w:tr>
        <w:tc>
          <w:tcPr>
            <w:tcW w:type="dxa" w:w="4500"/>
          </w:tcPr>
          <w:p>
            <w:r>
              <w:t xml:space="preserve">IRS annual individual contribution limit (under age 50), 2026</w:t>
            </w:r>
          </w:p>
        </w:tc>
        <w:tc>
          <w:tcPr>
            <w:tcW w:type="dxa" w:w="4500"/>
          </w:tcPr>
          <w:p>
            <w:r>
              <w:t xml:space="preserve">$7,500 [S2]</w:t>
            </w:r>
          </w:p>
        </w:tc>
      </w:tr>
      <w:tr>
        <w:tc>
          <w:tcPr>
            <w:tcW w:type="dxa" w:w="4500"/>
          </w:tcPr>
          <w:p>
            <w:r>
              <w:t xml:space="preserve">Roth IRA income eligibility limit, 2026, single filer</w:t>
            </w:r>
          </w:p>
        </w:tc>
        <w:tc>
          <w:tcPr>
            <w:tcW w:type="dxa" w:w="4500"/>
          </w:tcPr>
          <w:p>
            <w:r>
              <w:t xml:space="preserve">$153,000–$168,000 MAGI phase-out [S3] — Devon's assumed income (~$40,000, see [S1]) is well under this, so full Roth eligibility applies</w:t>
            </w:r>
          </w:p>
        </w:tc>
      </w:tr>
      <w:tr>
        <w:tc>
          <w:tcPr>
            <w:tcW w:type="dxa" w:w="4500"/>
          </w:tcPr>
          <w:p>
            <w:r>
              <w:t xml:space="preserve">Days remaining until the election locks in before Friday's payroll run</w:t>
            </w:r>
          </w:p>
        </w:tc>
        <w:tc>
          <w:tcPr>
            <w:tcW w:type="dxa" w:w="4500"/>
          </w:tcPr>
          <w:p>
            <w:r>
              <w:t xml:space="preserve">4 days*</w:t>
            </w:r>
          </w:p>
        </w:tc>
      </w:tr>
    </w:tbl>
    <w:p/>
    <w:p>
      <w:r>
        <w:t xml:space="preserve">*Narrative detail only — not a researched figure; see RESEARCH_LOG.md.</w:t>
      </w:r>
    </w:p>
    <w:p>
      <w:r>
        <w:t xml:space="preserve">Referenced from Background and Challenges D1–D2 (contribution amount) and D5 (deadline).</w:t>
      </w:r>
    </w:p>
    <w:p>
      <w:pPr>
        <w:pStyle w:val="Heading2"/>
        <w:spacing w:after="120" w:before="240"/>
      </w:pPr>
      <w:r>
        <w:t xml:space="preserve">Appendix B — Growth Assumptions Over the Investing Horizon</w:t>
      </w:r>
    </w:p>
    <w:p>
      <w:r>
        <w:t xml:space="preserve">The horizon and rate of return both options grow under identically — this is what makes the case's math a </w:t>
      </w:r>
      <w:r>
        <w:rPr>
          <w:i/>
          <w:iCs/>
        </w:rPr>
        <w:t xml:space="preserve">tax</w:t>
      </w:r>
      <w:r>
        <w:t xml:space="preserve"> comparison, not a growth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Devon's current age</w:t>
            </w:r>
          </w:p>
        </w:tc>
        <w:tc>
          <w:tcPr>
            <w:tcW w:type="dxa" w:w="4500"/>
          </w:tcPr>
          <w:p>
            <w:r>
              <w:t xml:space="preserve">24*</w:t>
            </w:r>
          </w:p>
        </w:tc>
      </w:tr>
      <w:tr>
        <w:tc>
          <w:tcPr>
            <w:tcW w:type="dxa" w:w="4500"/>
          </w:tcPr>
          <w:p>
            <w:r>
              <w:t xml:space="preserve">Assumed retirement age</w:t>
            </w:r>
          </w:p>
        </w:tc>
        <w:tc>
          <w:tcPr>
            <w:tcW w:type="dxa" w:w="4500"/>
          </w:tcPr>
          <w:p>
            <w:r>
              <w:t xml:space="preserve">67 [S4]</w:t>
            </w:r>
          </w:p>
        </w:tc>
      </w:tr>
      <w:tr>
        <w:tc>
          <w:tcPr>
            <w:tcW w:type="dxa" w:w="4500"/>
          </w:tcPr>
          <w:p>
            <w:r>
              <w:t xml:space="preserve">Years of growth this case models</w:t>
            </w:r>
          </w:p>
        </w:tc>
        <w:tc>
          <w:tcPr>
            <w:tcW w:type="dxa" w:w="4500"/>
          </w:tcPr>
          <w:p>
            <w:r>
              <w:t xml:space="preserve">43 years (67 − 24)</w:t>
            </w:r>
          </w:p>
        </w:tc>
      </w:tr>
      <w:tr>
        <w:tc>
          <w:tcPr>
            <w:tcW w:type="dxa" w:w="4500"/>
          </w:tcPr>
          <w:p>
            <w:r>
              <w:t xml:space="preserve">Assumed average annual rate of return used for compounding</w:t>
            </w:r>
          </w:p>
        </w:tc>
        <w:tc>
          <w:tcPr>
            <w:tcW w:type="dxa" w:w="4500"/>
          </w:tcPr>
          <w:p>
            <w:r>
              <w:t xml:space="preserve">10% [S5]</w:t>
            </w:r>
          </w:p>
        </w:tc>
      </w:tr>
    </w:tbl>
    <w:p/>
    <w:p>
      <w:r>
        <w:t xml:space="preserve">*Narrative detail, stated in Overview/Background — not independently researched.</w:t>
      </w:r>
    </w:p>
    <w:p>
      <w:r>
        <w:t xml:space="preserve">Referenced from Background and forces D1's and D2's exponential growth computations.</w:t>
      </w:r>
    </w:p>
    <w:p>
      <w:pPr>
        <w:pStyle w:val="Heading2"/>
        <w:spacing w:after="120" w:before="240"/>
      </w:pPr>
      <w:r>
        <w:t xml:space="preserve">Appendix C — How Traditional and Roth IRAs Are Actually Taxed</w:t>
      </w:r>
    </w:p>
    <w:p>
      <w:r>
        <w:t xml:space="preserve">The tax mechanics that make Pay Later and Pay Now different, stated precisely enough to compute from.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Traditional IRA (Pay Later): tax treatment of the contribution in the year it is made</w:t>
            </w:r>
          </w:p>
        </w:tc>
        <w:tc>
          <w:tcPr>
            <w:tcW w:type="dxa" w:w="4500"/>
          </w:tcPr>
          <w:p>
            <w:r>
              <w:t xml:space="preserve">Fully tax-deductible — Devon has no other workplace retirement plan, so no phase-out applies [S6]</w:t>
            </w:r>
          </w:p>
        </w:tc>
      </w:tr>
      <w:tr>
        <w:tc>
          <w:tcPr>
            <w:tcW w:type="dxa" w:w="4500"/>
          </w:tcPr>
          <w:p>
            <w:r>
              <w:t xml:space="preserve">Traditional IRA (Pay Later): tax treatment of a qualified withdrawal in retirement</w:t>
            </w:r>
          </w:p>
        </w:tc>
        <w:tc>
          <w:tcPr>
            <w:tcW w:type="dxa" w:w="4500"/>
          </w:tcPr>
          <w:p>
            <w:r>
              <w:t xml:space="preserve">Entire withdrawal (contributions plus all growth) taxed as ordinary income at the withdrawal-year rate [S6]</w:t>
            </w:r>
          </w:p>
        </w:tc>
      </w:tr>
      <w:tr>
        <w:tc>
          <w:tcPr>
            <w:tcW w:type="dxa" w:w="4500"/>
          </w:tcPr>
          <w:p>
            <w:r>
              <w:t xml:space="preserve">Roth IRA (Pay Now): tax treatment of the contribution in the year it is made</w:t>
            </w:r>
          </w:p>
        </w:tc>
        <w:tc>
          <w:tcPr>
            <w:tcW w:type="dxa" w:w="4500"/>
          </w:tcPr>
          <w:p>
            <w:r>
              <w:t xml:space="preserve">Made with already-taxed income; no deduction [S7]</w:t>
            </w:r>
          </w:p>
        </w:tc>
      </w:tr>
      <w:tr>
        <w:tc>
          <w:tcPr>
            <w:tcW w:type="dxa" w:w="4500"/>
          </w:tcPr>
          <w:p>
            <w:r>
              <w:t xml:space="preserve">Roth IRA (Pay Now): tax treatment of a qualified withdrawal in retirement</w:t>
            </w:r>
          </w:p>
        </w:tc>
        <w:tc>
          <w:tcPr>
            <w:tcW w:type="dxa" w:w="4500"/>
          </w:tcPr>
          <w:p>
            <w:r>
              <w:t xml:space="preserve">Qualified withdrawal (contributions plus all growth) entirely tax-free [S7]</w:t>
            </w:r>
          </w:p>
        </w:tc>
      </w:tr>
    </w:tbl>
    <w:p/>
    <w:p>
      <w:r>
        <w:t xml:space="preserve">Referenced from Background and forces D3's after-tax value computation for both options.</w:t>
      </w:r>
    </w:p>
    <w:p>
      <w:pPr>
        <w:pStyle w:val="Heading2"/>
        <w:spacing w:after="120" w:before="240"/>
      </w:pPr>
      <w:r>
        <w:t xml:space="preserve">Appendix D — The Bracket Bet: Today's Rate vs. Two Assumed Future Rates</w:t>
      </w:r>
    </w:p>
    <w:p>
      <w:r>
        <w:t xml:space="preserve">The one genuinely unknowable number the whole dilemma turns on, and the two contrasting scenarios this case requires so the decision cannot be settled by folk wisdom alone.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Devon's current marginal federal tax bracket, given an entry-level single-filer income</w:t>
            </w:r>
          </w:p>
        </w:tc>
        <w:tc>
          <w:tcPr>
            <w:tcW w:type="dxa" w:w="4500"/>
          </w:tcPr>
          <w:p>
            <w:r>
              <w:t xml:space="preserve">12% [S8]</w:t>
            </w:r>
          </w:p>
        </w:tc>
      </w:tr>
      <w:tr>
        <w:tc>
          <w:tcPr>
            <w:tcW w:type="dxa" w:w="4500"/>
          </w:tcPr>
          <w:p>
            <w:r>
              <w:t xml:space="preserve">Assumed future marginal tax bracket at retirement — Scenario 1 (higher than today's rate)</w:t>
            </w:r>
          </w:p>
        </w:tc>
        <w:tc>
          <w:tcPr>
            <w:tcW w:type="dxa" w:w="4500"/>
          </w:tcPr>
          <w:p>
            <w:r>
              <w:t xml:space="preserve">22% (see Modeling Assumptions)</w:t>
            </w:r>
          </w:p>
        </w:tc>
      </w:tr>
      <w:tr>
        <w:tc>
          <w:tcPr>
            <w:tcW w:type="dxa" w:w="4500"/>
          </w:tcPr>
          <w:p>
            <w:r>
              <w:t xml:space="preserve">Assumed future marginal tax bracket at retirement — Scenario 2 (lower than today's rate)</w:t>
            </w:r>
          </w:p>
        </w:tc>
        <w:tc>
          <w:tcPr>
            <w:tcW w:type="dxa" w:w="4500"/>
          </w:tcPr>
          <w:p>
            <w:r>
              <w:t xml:space="preserve">10% (see Modeling Assumptions)</w:t>
            </w:r>
          </w:p>
        </w:tc>
      </w:tr>
    </w:tbl>
    <w:p/>
    <w:p>
      <w:r>
        <w:t xml:space="preserve">Referenced from Background and forces D3's two-scenario after-tax computation and D4's crossover chart. </w:t>
      </w:r>
      <w:r>
        <w:rPr>
          <w:b/>
          <w:bCs/>
        </w:rPr>
        <w:t xml:space="preserve">Both scenarios are required.</w:t>
      </w:r>
      <w:r>
        <w:t xml:space="preserve"> A pitch that only runs Scenario 1 or only runs Scenario 2 has not completed D3 — the point of this case is that the honest answer depends on which one turns out to be true, and a Hero who only checks the scenario that confirms "Roth always wins" has not actually tested that claim.</w:t>
      </w:r>
    </w:p>
    <w:p>
      <w:pPr>
        <w:pStyle w:val="Heading2"/>
        <w:spacing w:after="120" w:before="240"/>
      </w:pPr>
      <w:r>
        <w:t xml:space="preserve">Modeling Assumptions</w:t>
      </w:r>
    </w:p>
    <w:p>
      <w:pPr>
        <w:ind w:left="480"/>
      </w:pPr>
      <w:r>
        <w:t xml:space="preserve">These figures are </w:t>
      </w:r>
      <w:r>
        <w:rPr>
          <w:b/>
          <w:bCs/>
        </w:rPr>
        <w:t xml:space="preserve">not sourced</w:t>
      </w:r>
      <w:r>
        <w:t xml:space="preserve"> — nobody can look up a tax bracket that has not happened yet. They are stated scenario assumptions, chosen to be realistic and to genuinely straddle Devon's current, known bracket in both directions.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Devon's current marginal federal tax bracket</w:t>
            </w:r>
          </w:p>
        </w:tc>
        <w:tc>
          <w:tcPr>
            <w:tcW w:type="dxa" w:w="1800"/>
          </w:tcPr>
          <w:p>
            <w:r>
              <w:t xml:space="preserve">12%</w:t>
            </w:r>
          </w:p>
        </w:tc>
        <w:tc>
          <w:tcPr>
            <w:tcW w:type="dxa" w:w="1800"/>
          </w:tcPr>
          <w:p>
            <w:r>
              <w:t xml:space="preserve">Not itself an assumption — computed from the real, current 2026 IRS bracket table [S8] against Devon's assumed entry-level income. Carried here as context for MA2/MA3.</w:t>
            </w:r>
          </w:p>
        </w:tc>
        <w:tc>
          <w:tcPr>
            <w:tcW w:type="dxa" w:w="1800"/>
          </w:tcPr>
          <w:p>
            <w:r>
              <w:t xml:space="preserve">Fixed; not a free variable.</w:t>
            </w:r>
          </w:p>
        </w:tc>
      </w:tr>
      <w:tr>
        <w:tc>
          <w:tcPr>
            <w:tcW w:type="dxa" w:w="1800"/>
          </w:tcPr>
          <w:p>
            <w:r>
              <w:t xml:space="preserve">MA2</w:t>
            </w:r>
          </w:p>
        </w:tc>
        <w:tc>
          <w:tcPr>
            <w:tcW w:type="dxa" w:w="1800"/>
          </w:tcPr>
          <w:p>
            <w:r>
              <w:t xml:space="preserve">Assumed future marginal tax bracket, Scenario 1 (rates rise)</w:t>
            </w:r>
          </w:p>
        </w:tc>
        <w:tc>
          <w:tcPr>
            <w:tcW w:type="dxa" w:w="1800"/>
          </w:tcPr>
          <w:p>
            <w:r>
              <w:t xml:space="preserve">22%</w:t>
            </w:r>
          </w:p>
        </w:tc>
        <w:tc>
          <w:tcPr>
            <w:tcW w:type="dxa" w:w="1800"/>
          </w:tcPr>
          <w:p>
            <w:r>
              <w:t xml:space="preserve">A real, currently-published federal bracket [S8], one step above Devon's current 12%. Chosen as a realistic mid-to-late-career trajectory over a ~43-year working life — reaching a six-figure-equivalent income by retirement age is an ordinary outcome over four decades, not an extreme one.</w:t>
            </w:r>
          </w:p>
        </w:tc>
        <w:tc>
          <w:tcPr>
            <w:tcW w:type="dxa" w:w="1800"/>
          </w:tcPr>
          <w:p>
            <w:r>
              <w:t xml:space="preserve">Work D3/D4 under this scenario to see which option comes out ahead, and by how much. If the true future rate were instead higher than 22%, or exactly 12% (no change from today), how would your D3/D4 results change?</w:t>
            </w:r>
          </w:p>
        </w:tc>
      </w:tr>
      <w:tr>
        <w:tc>
          <w:tcPr>
            <w:tcW w:type="dxa" w:w="1800"/>
          </w:tcPr>
          <w:p>
            <w:r>
              <w:t xml:space="preserve">MA3</w:t>
            </w:r>
          </w:p>
        </w:tc>
        <w:tc>
          <w:tcPr>
            <w:tcW w:type="dxa" w:w="1800"/>
          </w:tcPr>
          <w:p>
            <w:r>
              <w:t xml:space="preserve">Assumed future marginal tax bracket, Scenario 2 (rates fall or stay low)</w:t>
            </w:r>
          </w:p>
        </w:tc>
        <w:tc>
          <w:tcPr>
            <w:tcW w:type="dxa" w:w="1800"/>
          </w:tcPr>
          <w:p>
            <w:r>
              <w:t xml:space="preserve">10%</w:t>
            </w:r>
          </w:p>
        </w:tc>
        <w:tc>
          <w:tcPr>
            <w:tcW w:type="dxa" w:w="1800"/>
          </w:tcPr>
          <w:p>
            <w:r>
              <w:t xml:space="preserve">The real bottom bracket of the federal schedule [S8], one step below Devon's current 12%. Chosen as a realistic "modest, largely Social-Security-supported retirement income" trajectory — the required counter-scenario so the case cannot be resolved by assuming taxes only ever rise.</w:t>
            </w:r>
          </w:p>
        </w:tc>
        <w:tc>
          <w:tcPr>
            <w:tcW w:type="dxa" w:w="1800"/>
          </w:tcPr>
          <w:p>
            <w:r>
              <w:t xml:space="preserve">Work D3/D4 under this scenario to see which option comes out ahead, and by how much. If the true future rate matched today's 12% exactly, how would your D3/D4 results change?</w:t>
            </w:r>
          </w:p>
        </w:tc>
      </w:tr>
    </w:tbl>
    <w:p/>
    <w:p>
      <w:r>
        <w:t xml:space="preserve">Both MA2 and MA3 are real, currently-published federal brackets (see Appendix D and Appendix F — Sources); only their </w:t>
      </w:r>
      <w:r>
        <w:rPr>
          <w:i/>
          <w:iCs/>
        </w:rPr>
        <w:t xml:space="preserve">selection</w:t>
      </w:r>
      <w:r>
        <w:t xml:space="preserve"> as Devon's specific future outcome is assumed, and that selection is disclosed here rather than buried in Appendix D's table.</w:t>
      </w:r>
    </w:p>
    <w:p>
      <w:pPr>
        <w:pStyle w:val="Heading2"/>
        <w:spacing w:after="120" w:before="240"/>
      </w:pPr>
      <w:r>
        <w:t xml:space="preserve">Appendix E — "How To…" Math Questions To Research</w:t>
      </w:r>
    </w:p>
    <w:p>
      <w:r>
        <w:rPr>
          <w:b/>
          <w:bCs/>
        </w:rPr>
        <w:t xml:space="preserve">Vocabulary terms</w:t>
      </w:r>
    </w:p>
    <w:p>
      <w:pPr>
        <w:ind w:left="360"/>
      </w:pPr>
      <w:r>
        <w:t xml:space="preserve">- Exponent (also Power)</w:t>
      </w:r>
    </w:p>
    <w:p>
      <w:pPr>
        <w:ind w:left="360"/>
      </w:pPr>
      <w:r>
        <w:t xml:space="preserve">- Base</w:t>
      </w:r>
    </w:p>
    <w:p>
      <w:pPr>
        <w:ind w:left="360"/>
      </w:pPr>
      <w:r>
        <w:t xml:space="preserve">- Percent</w:t>
      </w:r>
    </w:p>
    <w:p>
      <w:r>
        <w:rPr>
          <w:b/>
          <w:bCs/>
        </w:rPr>
        <w:t xml:space="preserve">"How to…" questions</w:t>
      </w:r>
    </w:p>
    <w:p>
      <w:pPr>
        <w:ind w:left="360"/>
      </w:pPr>
      <w:r>
        <w:t xml:space="preserve">- How to evaluate an exponential expression</w:t>
      </w:r>
    </w:p>
    <w:p>
      <w:pPr>
        <w:ind w:left="360"/>
      </w:pPr>
      <w:r>
        <w:t xml:space="preserve">- How to evaluate an expression with multiple operations with exponents (Order Of Operations)</w:t>
      </w:r>
    </w:p>
    <w:p>
      <w:pPr>
        <w:ind w:left="360"/>
      </w:pPr>
      <w:r>
        <w:t xml:space="preserve">- How to find the percent of a number</w:t>
      </w:r>
    </w:p>
    <w:p>
      <w:pPr>
        <w:pStyle w:val="Heading2"/>
        <w:spacing w:after="120" w:before="240"/>
      </w:pPr>
      <w:r>
        <w:t xml:space="preserve">Appendix F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Devon's assumed annual IRA contribution, derived from a real entry-level salary anchor and standard savings-rate guidance</w:t>
            </w:r>
          </w:p>
        </w:tc>
        <w:tc>
          <w:tcPr>
            <w:tcW w:type="dxa" w:w="1500"/>
          </w:tcPr>
          <w:p>
            <w:r>
              <w:t xml:space="preserve">$3,000/year</w:t>
            </w:r>
          </w:p>
        </w:tc>
        <w:tc>
          <w:tcPr>
            <w:tcW w:type="dxa" w:w="1500"/>
          </w:tcPr>
          <w:p>
            <w:r>
              <w:t xml:space="preserve">U.S. Bureau of Labor Statistics, median usual weekly earnings, full-time workers age 16–24 (</w:t>
            </w:r>
            <w:hyperlink w:history="1" r:id="rIdyiz8tvfnxm8z1urhwheqa">
              <w:r>
                <w:rPr>
                  <w:rStyle w:val="Hyperlink"/>
                </w:rPr>
                <w:t xml:space="preserve">cpsaat37.htm</w:t>
              </w:r>
            </w:hyperlink>
            <w:r>
              <w:t xml:space="preserve">), combined with Fidelity's "work up to 15% of income" and Northwestern Mutual's early-career contribution guidance (</w:t>
            </w:r>
            <w:hyperlink w:history="1" r:id="rIdr1h1_vbockujseczj6ei-">
              <w:r>
                <w:rPr>
                  <w:rStyle w:val="Hyperlink"/>
                </w:rPr>
                <w:t xml:space="preserve">Fidelity</w:t>
              </w:r>
            </w:hyperlink>
            <w:r>
              <w:t xml:space="preserve">, </w:t>
            </w:r>
            <w:hyperlink w:history="1" r:id="rIdbrnk2lroasw0v1vlg3vsz">
              <w:r>
                <w:rPr>
                  <w:rStyle w:val="Hyperlink"/>
                </w:rPr>
                <w:t xml:space="preserve">Northwestern Mutual</w:t>
              </w:r>
            </w:hyperlink>
            <w:r>
              <w:t xml:space="preserve">)</w:t>
            </w:r>
          </w:p>
        </w:tc>
        <w:tc>
          <w:tcPr>
            <w:tcW w:type="dxa" w:w="1500"/>
          </w:tcPr>
          <w:p>
            <w:r>
              <w:t xml:space="preserve">2025</w:t>
            </w:r>
          </w:p>
        </w:tc>
        <w:tc>
          <w:tcPr>
            <w:tcW w:type="dxa" w:w="1500"/>
          </w:tcPr>
          <w:p>
            <w:r>
              <w:t xml:space="preserve">MEDIUM</w:t>
            </w:r>
          </w:p>
        </w:tc>
      </w:tr>
      <w:tr>
        <w:tc>
          <w:tcPr>
            <w:tcW w:type="dxa" w:w="1500"/>
          </w:tcPr>
          <w:p>
            <w:r>
              <w:t xml:space="preserve">S2</w:t>
            </w:r>
          </w:p>
        </w:tc>
        <w:tc>
          <w:tcPr>
            <w:tcW w:type="dxa" w:w="1500"/>
          </w:tcPr>
          <w:p>
            <w:r>
              <w:t xml:space="preserve">2026 IRA annual contribution limit, individual under 50</w:t>
            </w:r>
          </w:p>
        </w:tc>
        <w:tc>
          <w:tcPr>
            <w:tcW w:type="dxa" w:w="1500"/>
          </w:tcPr>
          <w:p>
            <w:r>
              <w:t xml:space="preserve">$7,500</w:t>
            </w:r>
          </w:p>
        </w:tc>
        <w:tc>
          <w:tcPr>
            <w:tcW w:type="dxa" w:w="1500"/>
          </w:tcPr>
          <w:p>
            <w:r>
              <w:t xml:space="preserve">IRS Newsroom — </w:t>
            </w:r>
            <w:hyperlink w:history="1" r:id="rIdarvikljrc28rb8chcpiwb">
              <w:r>
                <w:rPr>
                  <w:rStyle w:val="Hyperlink"/>
                </w:rPr>
                <w:t xml:space="preserve">401(k) limit increases to $24,500 for 2026, IRA limit increases to $7,500</w:t>
              </w:r>
            </w:hyperlink>
          </w:p>
        </w:tc>
        <w:tc>
          <w:tcPr>
            <w:tcW w:type="dxa" w:w="1500"/>
          </w:tcPr>
          <w:p>
            <w:r>
              <w:t xml:space="preserve">2025-11 (for tax year 2026)</w:t>
            </w:r>
          </w:p>
        </w:tc>
        <w:tc>
          <w:tcPr>
            <w:tcW w:type="dxa" w:w="1500"/>
          </w:tcPr>
          <w:p>
            <w:r>
              <w:t xml:space="preserve">HIGH</w:t>
            </w:r>
          </w:p>
        </w:tc>
      </w:tr>
      <w:tr>
        <w:tc>
          <w:tcPr>
            <w:tcW w:type="dxa" w:w="1500"/>
          </w:tcPr>
          <w:p>
            <w:r>
              <w:t xml:space="preserve">S3</w:t>
            </w:r>
          </w:p>
        </w:tc>
        <w:tc>
          <w:tcPr>
            <w:tcW w:type="dxa" w:w="1500"/>
          </w:tcPr>
          <w:p>
            <w:r>
              <w:t xml:space="preserve">2026 Roth IRA MAGI phase-out range, single filer</w:t>
            </w:r>
          </w:p>
        </w:tc>
        <w:tc>
          <w:tcPr>
            <w:tcW w:type="dxa" w:w="1500"/>
          </w:tcPr>
          <w:p>
            <w:r>
              <w:t xml:space="preserve">$153,000–$168,000</w:t>
            </w:r>
          </w:p>
        </w:tc>
        <w:tc>
          <w:tcPr>
            <w:tcW w:type="dxa" w:w="1500"/>
          </w:tcPr>
          <w:p>
            <w:r>
              <w:t xml:space="preserve">IRS Newsroom — </w:t>
            </w:r>
            <w:hyperlink w:history="1" r:id="rIdbynvfss_vebulndn2qi0a">
              <w:r>
                <w:rPr>
                  <w:rStyle w:val="Hyperlink"/>
                </w:rPr>
                <w:t xml:space="preserve">401(k) limit increases to $24,500 for 2026, IRA limit increases to $7,500</w:t>
              </w:r>
            </w:hyperlink>
          </w:p>
        </w:tc>
        <w:tc>
          <w:tcPr>
            <w:tcW w:type="dxa" w:w="1500"/>
          </w:tcPr>
          <w:p>
            <w:r>
              <w:t xml:space="preserve">2025-11 (for tax year 2026)</w:t>
            </w:r>
          </w:p>
        </w:tc>
        <w:tc>
          <w:tcPr>
            <w:tcW w:type="dxa" w:w="1500"/>
          </w:tcPr>
          <w:p>
            <w:r>
              <w:t xml:space="preserve">HIGH</w:t>
            </w:r>
          </w:p>
        </w:tc>
      </w:tr>
      <w:tr>
        <w:tc>
          <w:tcPr>
            <w:tcW w:type="dxa" w:w="1500"/>
          </w:tcPr>
          <w:p>
            <w:r>
              <w:t xml:space="preserve">S4</w:t>
            </w:r>
          </w:p>
        </w:tc>
        <w:tc>
          <w:tcPr>
            <w:tcW w:type="dxa" w:w="1500"/>
          </w:tcPr>
          <w:p>
            <w:r>
              <w:t xml:space="preserve">Social Security full retirement age, for anyone born in 1960 or later</w:t>
            </w:r>
          </w:p>
        </w:tc>
        <w:tc>
          <w:tcPr>
            <w:tcW w:type="dxa" w:w="1500"/>
          </w:tcPr>
          <w:p>
            <w:r>
              <w:t xml:space="preserve">67</w:t>
            </w:r>
          </w:p>
        </w:tc>
        <w:tc>
          <w:tcPr>
            <w:tcW w:type="dxa" w:w="1500"/>
          </w:tcPr>
          <w:p>
            <w:r>
              <w:t xml:space="preserve">Social Security Administration — </w:t>
            </w:r>
            <w:hyperlink w:history="1" r:id="rIdihxfn72kmedukywu96kfm">
              <w:r>
                <w:rPr>
                  <w:rStyle w:val="Hyperlink"/>
                </w:rPr>
                <w:t xml:space="preserve">Benefits Planner: Retirement Age and Benefit Reduction</w:t>
              </w:r>
            </w:hyperlink>
            <w:r>
              <w:t xml:space="preserve">; corroborated by </w:t>
            </w:r>
            <w:hyperlink w:history="1" r:id="rIdamcbb81vweuvfsoshuut7">
              <w:r>
                <w:rPr>
                  <w:rStyle w:val="Hyperlink"/>
                </w:rPr>
                <w:t xml:space="preserve">Charles Schwab</w:t>
              </w:r>
            </w:hyperlink>
            <w:r>
              <w:t xml:space="preserve"> and the </w:t>
            </w:r>
            <w:hyperlink w:history="1" r:id="rIdy4v2a9kxmlkngg12gejtj">
              <w:r>
                <w:rPr>
                  <w:rStyle w:val="Hyperlink"/>
                </w:rPr>
                <w:t xml:space="preserve">Bipartisan Policy Center</w:t>
              </w:r>
            </w:hyperlink>
          </w:p>
        </w:tc>
        <w:tc>
          <w:tcPr>
            <w:tcW w:type="dxa" w:w="1500"/>
          </w:tcPr>
          <w:p>
            <w:r>
              <w:t xml:space="preserve">current policy, no further phase-in scheduled</w:t>
            </w:r>
          </w:p>
        </w:tc>
        <w:tc>
          <w:tcPr>
            <w:tcW w:type="dxa" w:w="1500"/>
          </w:tcPr>
          <w:p>
            <w:r>
              <w:t xml:space="preserve">HIGH</w:t>
            </w:r>
          </w:p>
        </w:tc>
      </w:tr>
      <w:tr>
        <w:tc>
          <w:tcPr>
            <w:tcW w:type="dxa" w:w="1500"/>
          </w:tcPr>
          <w:p>
            <w:r>
              <w:t xml:space="preserve">S5</w:t>
            </w:r>
          </w:p>
        </w:tc>
        <w:tc>
          <w:tcPr>
            <w:tcW w:type="dxa" w:w="1500"/>
          </w:tcPr>
          <w:p>
            <w:r>
              <w:t xml:space="preserve">Long-run average annual return, diversified U.S. equity index (S&amp;P 500)</w:t>
            </w:r>
          </w:p>
        </w:tc>
        <w:tc>
          <w:tcPr>
            <w:tcW w:type="dxa" w:w="1500"/>
          </w:tcPr>
          <w:p>
            <w:r>
              <w:t xml:space="preserve">10% (rounded; underlying figures 9.98%–10.22%)</w:t>
            </w:r>
          </w:p>
        </w:tc>
        <w:tc>
          <w:tcPr>
            <w:tcW w:type="dxa" w:w="1500"/>
          </w:tcPr>
          <w:p>
            <w:r>
              <w:t xml:space="preserve">The Motley Fool — </w:t>
            </w:r>
            <w:hyperlink w:history="1" r:id="rIdjcqkuplcldtcnuruhg2bg">
              <w:r>
                <w:rPr>
                  <w:rStyle w:val="Hyperlink"/>
                </w:rPr>
                <w:t xml:space="preserve">What Is the Average Stock Market Return?</w:t>
              </w:r>
            </w:hyperlink>
            <w:r>
              <w:t xml:space="preserve"> (9.98%/yr since 1928); officialdata.org — </w:t>
            </w:r>
            <w:hyperlink w:history="1" r:id="rIdeqcopyw-4qw4jrp58q87u">
              <w:r>
                <w:rPr>
                  <w:rStyle w:val="Hyperlink"/>
                </w:rPr>
                <w:t xml:space="preserve">S&amp;P 500 since 1928</w:t>
              </w:r>
            </w:hyperlink>
            <w:r>
              <w:t xml:space="preserve"> (10.22%/yr since 1928, dividends reinvested)</w:t>
            </w:r>
          </w:p>
        </w:tc>
        <w:tc>
          <w:tcPr>
            <w:tcW w:type="dxa" w:w="1500"/>
          </w:tcPr>
          <w:p>
            <w:r>
              <w:t xml:space="preserve">accessed 2026-09-03</w:t>
            </w:r>
          </w:p>
        </w:tc>
        <w:tc>
          <w:tcPr>
            <w:tcW w:type="dxa" w:w="1500"/>
          </w:tcPr>
          <w:p>
            <w:r>
              <w:t xml:space="preserve">MEDIUM</w:t>
            </w:r>
          </w:p>
        </w:tc>
      </w:tr>
      <w:tr>
        <w:tc>
          <w:tcPr>
            <w:tcW w:type="dxa" w:w="1500"/>
          </w:tcPr>
          <w:p>
            <w:r>
              <w:t xml:space="preserve">S6</w:t>
            </w:r>
          </w:p>
        </w:tc>
        <w:tc>
          <w:tcPr>
            <w:tcW w:type="dxa" w:w="1500"/>
          </w:tcPr>
          <w:p>
            <w:r>
              <w:t xml:space="preserve">Traditional IRA contribution deductibility and withdrawal taxation</w:t>
            </w:r>
          </w:p>
        </w:tc>
        <w:tc>
          <w:tcPr>
            <w:tcW w:type="dxa" w:w="1500"/>
          </w:tcPr>
          <w:p>
            <w:r>
              <w:t xml:space="preserve">Full deduction if not covered by a workplace plan; entire withdrawal taxed as ordinary income</w:t>
            </w:r>
          </w:p>
        </w:tc>
        <w:tc>
          <w:tcPr>
            <w:tcW w:type="dxa" w:w="1500"/>
          </w:tcPr>
          <w:p>
            <w:r>
              <w:t xml:space="preserve">IRS.gov — </w:t>
            </w:r>
            <w:hyperlink w:history="1" r:id="rIdrcgskeoqbktlbyuoend_r">
              <w:r>
                <w:rPr>
                  <w:rStyle w:val="Hyperlink"/>
                </w:rPr>
                <w:t xml:space="preserve">Traditional IRAs</w:t>
              </w:r>
            </w:hyperlink>
          </w:p>
        </w:tc>
        <w:tc>
          <w:tcPr>
            <w:tcW w:type="dxa" w:w="1500"/>
          </w:tcPr>
          <w:p>
            <w:r>
              <w:t xml:space="preserve">accessed 2026-09-03</w:t>
            </w:r>
          </w:p>
        </w:tc>
        <w:tc>
          <w:tcPr>
            <w:tcW w:type="dxa" w:w="1500"/>
          </w:tcPr>
          <w:p>
            <w:r>
              <w:t xml:space="preserve">HIGH</w:t>
            </w:r>
          </w:p>
        </w:tc>
      </w:tr>
      <w:tr>
        <w:tc>
          <w:tcPr>
            <w:tcW w:type="dxa" w:w="1500"/>
          </w:tcPr>
          <w:p>
            <w:r>
              <w:t xml:space="preserve">S7</w:t>
            </w:r>
          </w:p>
        </w:tc>
        <w:tc>
          <w:tcPr>
            <w:tcW w:type="dxa" w:w="1500"/>
          </w:tcPr>
          <w:p>
            <w:r>
              <w:t xml:space="preserve">Roth IRA contribution and withdrawal taxation</w:t>
            </w:r>
          </w:p>
        </w:tc>
        <w:tc>
          <w:tcPr>
            <w:tcW w:type="dxa" w:w="1500"/>
          </w:tcPr>
          <w:p>
            <w:r>
              <w:t xml:space="preserve">No deduction (after-tax contribution); qualified withdrawals entirely tax-free</w:t>
            </w:r>
          </w:p>
        </w:tc>
        <w:tc>
          <w:tcPr>
            <w:tcW w:type="dxa" w:w="1500"/>
          </w:tcPr>
          <w:p>
            <w:r>
              <w:t xml:space="preserve">IRS.gov — </w:t>
            </w:r>
            <w:hyperlink w:history="1" r:id="rIdnosquhsxfmr8edlapatmc">
              <w:r>
                <w:rPr>
                  <w:rStyle w:val="Hyperlink"/>
                </w:rPr>
                <w:t xml:space="preserve">Roth IRAs</w:t>
              </w:r>
            </w:hyperlink>
          </w:p>
        </w:tc>
        <w:tc>
          <w:tcPr>
            <w:tcW w:type="dxa" w:w="1500"/>
          </w:tcPr>
          <w:p>
            <w:r>
              <w:t xml:space="preserve">accessed 2026-09-03</w:t>
            </w:r>
          </w:p>
        </w:tc>
        <w:tc>
          <w:tcPr>
            <w:tcW w:type="dxa" w:w="1500"/>
          </w:tcPr>
          <w:p>
            <w:r>
              <w:t xml:space="preserve">HIGH</w:t>
            </w:r>
          </w:p>
        </w:tc>
      </w:tr>
      <w:tr>
        <w:tc>
          <w:tcPr>
            <w:tcW w:type="dxa" w:w="1500"/>
          </w:tcPr>
          <w:p>
            <w:r>
              <w:t xml:space="preserve">S8</w:t>
            </w:r>
          </w:p>
        </w:tc>
        <w:tc>
          <w:tcPr>
            <w:tcW w:type="dxa" w:w="1500"/>
          </w:tcPr>
          <w:p>
            <w:r>
              <w:t xml:space="preserve">2026 federal marginal tax brackets and standard deduction, single filer</w:t>
            </w:r>
          </w:p>
        </w:tc>
        <w:tc>
          <w:tcPr>
            <w:tcW w:type="dxa" w:w="1500"/>
          </w:tcPr>
          <w:p>
            <w:r>
              <w:t xml:space="preserve">10% to $12,400; 12% to $50,400; 22% to $105,700; 24% to $201,775; 32% to $256,225; 35% to $640,600; 37% above; standard deduction $16,100</w:t>
            </w:r>
          </w:p>
        </w:tc>
        <w:tc>
          <w:tcPr>
            <w:tcW w:type="dxa" w:w="1500"/>
          </w:tcPr>
          <w:p>
            <w:r>
              <w:t xml:space="preserve">IRS Newsroom — </w:t>
            </w:r>
            <w:hyperlink w:history="1" r:id="rIdndqiijsnc2wfbbstdky8u">
              <w:r>
                <w:rPr>
                  <w:rStyle w:val="Hyperlink"/>
                </w:rPr>
                <w:t xml:space="preserve">IRS releases tax inflation adjustments for tax year 2026, including amendments from the One, Big, Beautiful Bill</w:t>
              </w:r>
            </w:hyperlink>
          </w:p>
        </w:tc>
        <w:tc>
          <w:tcPr>
            <w:tcW w:type="dxa" w:w="1500"/>
          </w:tcPr>
          <w:p>
            <w:r>
              <w:t xml:space="preserve">2025 (for tax year 2026)</w:t>
            </w:r>
          </w:p>
        </w:tc>
        <w:tc>
          <w:tcPr>
            <w:tcW w:type="dxa" w:w="1500"/>
          </w:tcPr>
          <w:p>
            <w:r>
              <w:t xml:space="preserve">HIGH</w:t>
            </w:r>
          </w:p>
        </w:tc>
      </w:tr>
    </w:tbl>
    <w:p/>
    <w:p>
      <w:r>
        <w:t xml:space="preserve">Full research trail, rejected leads, and the balance-test verification arithmetic are in </w:t>
      </w:r>
      <w:r>
        <w:rPr>
          <w:rFonts w:ascii="Courier New" w:cs="Courier New" w:eastAsia="Courier New" w:hAnsi="Courier New"/>
        </w:rPr>
        <w:t xml:space="preserve">RESEARCH_LOG.md</w:t>
      </w:r>
      <w: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iz8tvfnxm8z1urhwheqa" Type="http://schemas.openxmlformats.org/officeDocument/2006/relationships/hyperlink" Target="https://www.bls.gov/cps/cpsaat37.htm" TargetMode="External"/><Relationship Id="rIdr1h1_vbockujseczj6ei-" Type="http://schemas.openxmlformats.org/officeDocument/2006/relationships/hyperlink" Target="https://www.fidelity.com/learning-center/smart-money/how-much-should-i-contribute-to-my-401k" TargetMode="External"/><Relationship Id="rIdbrnk2lroasw0v1vlg3vsz" Type="http://schemas.openxmlformats.org/officeDocument/2006/relationships/hyperlink" Target="https://www.northwesternmutual.com/life-and-money/how-much-should-i-contribute-to-an-ira-and-how-often/" TargetMode="External"/><Relationship Id="rIdarvikljrc28rb8chcpiwb" Type="http://schemas.openxmlformats.org/officeDocument/2006/relationships/hyperlink" Target="https://www.irs.gov/newsroom/401k-limit-increases-to-24500-for-2026-ira-limit-increases-to-7500" TargetMode="External"/><Relationship Id="rIdbynvfss_vebulndn2qi0a" Type="http://schemas.openxmlformats.org/officeDocument/2006/relationships/hyperlink" Target="https://www.irs.gov/newsroom/401k-limit-increases-to-24500-for-2026-ira-limit-increases-to-7500" TargetMode="External"/><Relationship Id="rIdihxfn72kmedukywu96kfm" Type="http://schemas.openxmlformats.org/officeDocument/2006/relationships/hyperlink" Target="https://www.ssa.gov/benefits/retirement/planner/agereduction.html" TargetMode="External"/><Relationship Id="rIdamcbb81vweuvfsoshuut7" Type="http://schemas.openxmlformats.org/officeDocument/2006/relationships/hyperlink" Target="https://www.schwab.com/learn/story/guide-on-taking-social-security" TargetMode="External"/><Relationship Id="rIdy4v2a9kxmlkngg12gejtj" Type="http://schemas.openxmlformats.org/officeDocument/2006/relationships/hyperlink" Target="https://bipartisanpolicy.org/explainer/full-retirement-age/" TargetMode="External"/><Relationship Id="rIdjcqkuplcldtcnuruhg2bg" Type="http://schemas.openxmlformats.org/officeDocument/2006/relationships/hyperlink" Target="https://www.fool.com/investing/how-to-invest/stocks/average-stock-market-return/" TargetMode="External"/><Relationship Id="rIdeqcopyw-4qw4jrp58q87u" Type="http://schemas.openxmlformats.org/officeDocument/2006/relationships/hyperlink" Target="https://www.officialdata.org/us/stocks/s-p-500/1928" TargetMode="External"/><Relationship Id="rIdrcgskeoqbktlbyuoend_r" Type="http://schemas.openxmlformats.org/officeDocument/2006/relationships/hyperlink" Target="https://www.irs.gov/retirement-plans/traditional-iras" TargetMode="External"/><Relationship Id="rIdnosquhsxfmr8edlapatmc" Type="http://schemas.openxmlformats.org/officeDocument/2006/relationships/hyperlink" Target="https://www.irs.gov/retirement-plans/roth-iras" TargetMode="External"/><Relationship Id="rIdndqiijsnc2wfbbstdky8u" Type="http://schemas.openxmlformats.org/officeDocument/2006/relationships/hyperlink" Target="https://www.irs.gov/newsroom/irs-releases-tax-inflation-adjustments-for-tax-year-2026-including-amendments-from-the-one-big-beautiful-bil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2026-09-05T22:45:10.825Z</dcterms:created>
  <dcterms:modified xsi:type="dcterms:W3CDTF">2026-09-05T22:45:10.826Z</dcterms:modified>
</cp:coreProperties>
</file>

<file path=docProps/custom.xml><?xml version="1.0" encoding="utf-8"?>
<Properties xmlns="http://schemas.openxmlformats.org/officeDocument/2006/custom-properties" xmlns:vt="http://schemas.openxmlformats.org/officeDocument/2006/docPropsVTypes"/>
</file>