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3a5c"/>
          <w:sz w:val="40"/>
          <w:szCs w:val="40"/>
        </w:rPr>
        <w:t xml:space="preserve">Facilitator Guide: The Deferred Repair</w:t>
      </w:r>
    </w:p>
    <w:p>
      <w:pPr>
        <w:spacing w:after="40"/>
        <w:jc w:val="center"/>
      </w:pPr>
      <w:r>
        <w:rPr>
          <w:b/>
          <w:bCs/>
          <w:color w:val="a3312a"/>
          <w:sz w:val="20"/>
          <w:szCs w:val="20"/>
        </w:rPr>
        <w:t xml:space="preserve">FACILITATOR-ONLY — do not distribute to students</w:t>
      </w:r>
    </w:p>
    <w:p>
      <w:pPr>
        <w:spacing w:after="300"/>
        <w:jc w:val="center"/>
      </w:pPr>
      <w:r>
        <w:rPr>
          <w:i/>
          <w:iCs/>
          <w:color w:val="5b6472"/>
          <w:sz w:val="20"/>
          <w:szCs w:val="20"/>
        </w:rPr>
        <w:t xml:space="preserve">MS | Math | Case Study | 2026 | Adventure</w:t>
      </w:r>
    </w:p>
    <w:p>
      <w:pPr>
        <w:spacing w:after="140"/>
      </w:pPr>
      <w:r>
        <w:rPr>
          <w:b/>
          <w:bCs/>
        </w:rPr>
        <w:t xml:space="preserve">Case: The Deferred Repair · Tier: T3 (MS-stretch / HS-entry) · Studio: MS Adventure</w:t>
      </w:r>
    </w:p>
    <w:p>
      <w:pPr>
        <w:spacing w:after="140"/>
      </w:pPr>
      <w:r>
        <w:t xml:space="preserve">Standards: Statistics And Probability — Probability, Event, Outcome, Dependent Event, Conditional Probability, and three “how to…” skills (single event, compound event, conditional events), plus Advanced Numbers' percent-of-a-number how-to.</w:t>
      </w:r>
    </w:p>
    <w:p>
      <w:pPr>
        <w:spacing w:after="140"/>
      </w:pPr>
      <w:r>
        <w:t xml:space="preserve">Margin: 13.0%, inside the SPEC §2 target 10–15% band.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BF8EE" w:val="clear"/>
            <w:tcMar>
              <w:top w:type="dxa" w:w="160"/>
              <w:left w:type="dxa" w:w="200"/>
              <w:bottom w:type="dxa" w:w="160"/>
              <w:right w:type="dxa" w:w="200"/>
            </w:tcMar>
          </w:tcPr>
          <w:p>
            <w:pPr>
              <w:spacing w:after="140"/>
            </w:pPr>
            <w:r>
              <w:rPr>
                <w:b/>
                <w:bCs/>
                <w:color w:val="1a3a5c"/>
              </w:rPr>
              <w:t xml:space="preserve">Facilitator note — sensitivity (SPEC §6)</w:t>
            </w:r>
          </w:p>
          <w:p>
            <w:pPr>
              <w:spacing w:after="140"/>
            </w:pPr>
            <w:r>
              <w:t xml:space="preserve">Touches ordinary money stress — a single-income home health aide budgeting a car repair against her ability to keep working. No illness, death, or family hardship beyond that. Facilitators should not need a heavier touch than usual, but should be ready if a Hero's own family situation makes “the car is how I earn my income” land harder than expected.</w:t>
            </w:r>
          </w:p>
        </w:tc>
      </w:tr>
    </w:tbl>
    <w:p>
      <w:pPr>
        <w:pStyle w:val="Heading2"/>
        <w:spacing w:after="120" w:before="220"/>
      </w:pPr>
      <w:r>
        <w:rPr>
          <w:b/>
          <w:bCs/>
          <w:color w:val="1a3a5c"/>
          <w:sz w:val="26"/>
          <w:szCs w:val="26"/>
        </w:rPr>
        <w:t xml:space="preserve">Argument for A — The Standing Order</w:t>
      </w:r>
    </w:p>
    <w:p>
      <w:pPr>
        <w:spacing w:after="140"/>
      </w:pPr>
      <w:r>
        <w:t xml:space="preserve">Option A's case is a risk-management argument, not a raw-dollar-average argument: it converts an uncertain, right-tailed risk (a $2,938 repair that may or may not happen) into a small, certain, budgetable cost Elena can plan around. This matters because the compound probability of at least one coolant-related failure across all three years she has committed to keeping the car — computed via the complement of “fails in none of the three years” — comes out to roughly 36.7% (D2), a real and non-trivial chance for a repair bill that could otherwise force her to replace the car early. Under the case's own current numbers, this is the harder argument to win on raw dollars alone — its real strength is that it eliminates variance, which is worth something even when it is not the cheapest option on average, and it is only a thin margin away from also being the cheaper option.</w:t>
      </w:r>
    </w:p>
    <w:p>
      <w:pPr>
        <w:pStyle w:val="Heading2"/>
        <w:spacing w:after="120" w:before="220"/>
      </w:pPr>
      <w:r>
        <w:rPr>
          <w:b/>
          <w:bCs/>
          <w:color w:val="1a3a5c"/>
          <w:sz w:val="26"/>
          <w:szCs w:val="26"/>
        </w:rPr>
        <w:t xml:space="preserve">Argument for B — The Reactive Route</w:t>
      </w:r>
    </w:p>
    <w:p>
      <w:pPr>
        <w:spacing w:after="140"/>
      </w:pPr>
      <w:r>
        <w:t xml:space="preserve">B's real, quantitative case is D3's actual expected-cost comparison, correctly weighted by probability: under MA1's stated Year 1–3 schedule, The Reactive Route's expected annual cost comes out lower than the flush's certain price (see “The margin” below). This is a genuinely different route to a similar-sounding conclusion than the reasoning shortcut named later in this guide (which reaches the same-sounding conclusion by comparing $473 to $2,938 directly, with no probability weighting at all) — B's D3-based case is the correct answer to the correctly-posed question, at least under MA1's current values. It is also fragile: because Appendix B's Year 1–3 probabilities are a stated Modeling Assumption (MA1), not an empirical certainty, a Hero who mounts a defensible challenge that the real risk is somewhat higher than assumed can legitimately move the comparison back toward A.</w:t>
      </w:r>
    </w:p>
    <w:p>
      <w:pPr>
        <w:pStyle w:val="Heading2"/>
        <w:spacing w:after="120" w:before="220"/>
      </w:pPr>
      <w:r>
        <w:rPr>
          <w:b/>
          <w:bCs/>
          <w:color w:val="1a3a5c"/>
          <w:sz w:val="26"/>
          <w:szCs w:val="26"/>
        </w:rPr>
        <w:t xml:space="preserve">The margin — real numbers, and which way the fragility runs</w:t>
      </w:r>
    </w:p>
    <w:p>
      <w:pPr>
        <w:spacing w:after="140"/>
      </w:pPr>
      <w:r>
        <w:t xml:space="preserve">case.json.balance.margin_pct = 13.0%, inside the SPEC §2 target 10–15% band. The arithmetic, in full:</w:t>
      </w:r>
    </w:p>
    <w:p>
      <w:pPr>
        <w:pStyle w:val="ListParagraph"/>
        <w:numPr>
          <w:ilvl w:val="0"/>
          <w:numId w:val="2"/>
        </w:numPr>
        <w:spacing w:after="100"/>
      </w:pPr>
      <w:r>
        <w:t xml:space="preserve">The Standing Order (A): $473.00/yr, certain, every year [S1].</w:t>
      </w:r>
    </w:p>
    <w:p>
      <w:pPr>
        <w:pStyle w:val="ListParagraph"/>
        <w:numPr>
          <w:ilvl w:val="0"/>
          <w:numId w:val="2"/>
        </w:numPr>
        <w:spacing w:after="100"/>
      </w:pPr>
      <w:r>
        <w:t xml:space="preserve">The Reactive Route (B), expected annual cost: average across the three years of (that year's MA1 probability × the $2,938 repair cost [S4]): Year 1: 9% × 2,938 = $264.42; Year 2: 13% × 2,938 = $381.94; Year 3: 20% × 2,938 = $587.60; Average: (264.42 + 381.94 + 587.60) / 3 = $411.32/yr.</w:t>
      </w:r>
    </w:p>
    <w:p>
      <w:pPr>
        <w:pStyle w:val="ListParagraph"/>
        <w:numPr>
          <w:ilvl w:val="0"/>
          <w:numId w:val="2"/>
        </w:numPr>
        <w:spacing w:after="100"/>
      </w:pPr>
      <w:r>
        <w:t xml:space="preserve">Margin: |473.00 − 411.32| / 473.00 = 13.0%.</w:t>
      </w:r>
    </w:p>
    <w:p>
      <w:pPr>
        <w:spacing w:after="140"/>
      </w:pPr>
      <w:r>
        <w:t xml:space="preserve">Under MA1's current values, B is the cheaper option — $411.32/yr against A's $473.00/yr. This margin is a designed property of MA1's chosen values, not an empirical finding — the $473 flush price and $2,938 repair cost are real, sourced figures, but the 9%/13%/20% schedule that drives B's side of the comparison is an authored Modeling Assumption (see case.json.modeling_assumptions[MA1] for the full search trail and basis: RepairPal, CarMD's Vehicle Health Index, AAA newsroom releases, Car Care Council, and mechanic-trade press all turned up no publishable per-year schedule for this claim).</w:t>
      </w:r>
    </w:p>
    <w:p>
      <w:pPr>
        <w:spacing w:after="140"/>
      </w:pPr>
      <w:r>
        <w:t xml:space="preserve">Why this matters for the facilitator, specifically: MA1 is the load-bearing, dilemma-flipping assumption in this case, and the fragility runs upward, not downward. The three-year average probability under MA1 is currently (9% + 13% + 20%) / 3 = 14%. The break-even average is 473 / 2,938 ≈ 16.1% — if the real average probability were higher than that (roughly two points above the current 14%), The Standing Order would become the cheaper option and the recommendation would flip to A. This can happen by raising all three years a little, or by raising just one: sensitivity_model.py shows Year 3 alone needs only about a 31% relative increase (20% → ~26%) to flip the case, versus roughly 48% for Year 2 alone and 70% for Year 1 alone — Year 3 is the single most leverage-sensitive number in Appendix B, precisely because it carries the largest weight in the three-year average. A sharp student who argues Year 3's escalation to 20% looks too aggressive, or that all three years should read a bit higher than assumed (a defensible position — MA1's own basis text concedes the escalation schedule is chosen, not measured), can flip the case's own recommendation from B to A with a single clean, upward challenge to Appendix B.</w:t>
      </w:r>
    </w:p>
    <w:p>
      <w:pPr>
        <w:spacing w:after="140"/>
      </w:pPr>
      <w:r>
        <w:rPr>
          <w:b/>
          <w:bCs/>
        </w:rPr>
        <w:t xml:space="preserve">Do not treat a student who argues the probabilities should be lower, and concludes “B wins by even more,” as having found the case's fragility — the fragile direction is the other way. The Socratic questions below are built to surface exactly that upward fragility rather than paper over it, and a facilitator who has internalized the wrong direction will mis-referee the discussion.</w:t>
      </w:r>
    </w:p>
    <w:p>
      <w:pPr>
        <w:pStyle w:val="Heading2"/>
        <w:spacing w:after="120" w:before="220"/>
      </w:pPr>
      <w:r>
        <w:rPr>
          <w:b/>
          <w:bCs/>
          <w:color w:val="1a3a5c"/>
          <w:sz w:val="26"/>
          <w:szCs w:val="26"/>
        </w:rPr>
        <w:t xml:space="preserve">Five Socratic Questions</w:t>
      </w:r>
    </w:p>
    <w:p>
      <w:pPr>
        <w:pStyle w:val="ListParagraph"/>
        <w:numPr>
          <w:ilvl w:val="0"/>
          <w:numId w:val="3"/>
        </w:numPr>
        <w:spacing w:after="120"/>
      </w:pPr>
      <w:r>
        <w:t xml:space="preserve">Your D3 table multiplies each year's probability by the $2,938 repair cost to get an expected cost — why is that the right thing to compare against the flush's certain $473, instead of comparing $473 to $2,938 directly?</w:t>
      </w:r>
    </w:p>
    <w:p>
      <w:pPr>
        <w:pStyle w:val="ListParagraph"/>
        <w:numPr>
          <w:ilvl w:val="0"/>
          <w:numId w:val="3"/>
        </w:numPr>
        <w:spacing w:after="120"/>
      </w:pPr>
      <w:r>
        <w:t xml:space="preserve">MA1's Year 3 probability is set at 20%, but no source publishes that number — if you argued the escalation should top out closer to 26%, would The Reactive Route still come out cheaper, or does the recommendation flip to The Standing Order?</w:t>
      </w:r>
    </w:p>
    <w:p>
      <w:pPr>
        <w:pStyle w:val="ListParagraph"/>
        <w:numPr>
          <w:ilvl w:val="0"/>
          <w:numId w:val="3"/>
        </w:numPr>
        <w:spacing w:after="120"/>
      </w:pPr>
      <w:r>
        <w:t xml:space="preserve">You computed the chance of at least one failure across three years by taking a complement instead of adding the three yearly probabilities together — what would adding them have gotten wrong, and by how much?</w:t>
      </w:r>
    </w:p>
    <w:p>
      <w:pPr>
        <w:pStyle w:val="ListParagraph"/>
        <w:numPr>
          <w:ilvl w:val="0"/>
          <w:numId w:val="3"/>
        </w:numPr>
        <w:spacing w:after="120"/>
      </w:pPr>
      <w:r>
        <w:t xml:space="preserve">Appendix C's cabin air filter carries the exact same shop tone and a similar price to the coolant flush, but D4 says you should not treat it the same way — what specific number, not tone or price, made the difference?</w:t>
      </w:r>
    </w:p>
    <w:p>
      <w:pPr>
        <w:pStyle w:val="ListParagraph"/>
        <w:numPr>
          <w:ilvl w:val="0"/>
          <w:numId w:val="3"/>
        </w:numPr>
        <w:spacing w:after="120"/>
      </w:pPr>
      <w:r>
        <w:t xml:space="preserve">If the whole case rests on a single assumed schedule of probabilities that nobody actually measured, what would you need to see to trust MA1's 9%/13%/20% more than you do right now — and does knowing the case's own margin is only 13.0% wide make that question more or less urgent?</w:t>
      </w:r>
    </w:p>
    <w:p>
      <w:pPr>
        <w:pStyle w:val="Heading2"/>
        <w:spacing w:after="120" w:before="220"/>
      </w:pPr>
      <w:r>
        <w:rPr>
          <w:b/>
          <w:bCs/>
          <w:color w:val="1a3a5c"/>
          <w:sz w:val="26"/>
          <w:szCs w:val="26"/>
        </w:rPr>
        <w:t xml:space="preserve">The Trap</w:t>
      </w:r>
    </w:p>
    <w:p>
      <w:pPr>
        <w:spacing w:after="140"/>
      </w:pPr>
      <w:r>
        <w:rPr>
          <w:b/>
          <w:bCs/>
        </w:rPr>
        <w:t xml:space="preserve">A learner who compares the flush's certain price directly to the repair's certain price — ignoring the probability weighting entirely — will conclude “just pay for the repair if it happens,” and land on the same option D3's correct math also favors, but for the wrong reason and with no idea how close that answer is to flipping. This is the whole point of the case: the flush price and the repair price are not directly comparable numbers, even though, this time, the naive comparison and the correct one happen to point the same way. Only the expected value of the repair — probability times cost — belongs next to the flush's certain price, and only the correct route reveals the 13.0% margin and its closeness to the 16.1% flip point. A pitch that never runs D2's compound-probability step, or never multiplies Appendix B's probability against the repair cost in D3, has fallen into this trap even if it reaches the same recommendation and even if its prose sounds confident.</w:t>
      </w:r>
    </w:p>
    <w:p>
      <w:pPr>
        <w:spacing w:after="140"/>
      </w:pPr>
      <w:r>
        <w:t xml:space="preserve">A second, more likely trap (Tier 2 P3 finding, added after adversarial review): a student who correctly builds D1 and D2 can still get D3 wrong by reusing D2's single compound three-year probability (~36.7%) as if it were a per-year multiplier — e.g. multiplying 36.7% by $2,938 once and comparing that single number to three years of flush payments ($473 × 3 = $1,419) — instead of computing each year's own expected cost (Year 1: 9% × $2,938, Year 2: 13% × $2,938, Year 3: 20% × $2,938) and summing those three separately. This produces a plausible-looking dollar figure from real numbers in the case, but blurs “probability of at least one failure across the whole window” (D2's job) with “expected cost per year” (D3's job) — watch for a pitch whose D3 table has only one row instead of three. A related version of this same trap collapses Challenge 3 (D4) into “the shop flags everything urgently, so either pay for all three or decline all three” — riding the Background's own “shops flag everything the same shade of red” framing one step too far, and skipping the actual per-service three-year expected-cost comparison Appendix C's data is there to force. Watch for a pitch that reaches a filtering conclusion on tone or price alone rather than on each service's own number.</w:t>
      </w:r>
    </w:p>
    <w:p>
      <w:pPr>
        <w:pStyle w:val="Heading2"/>
        <w:spacing w:after="120" w:before="220"/>
      </w:pPr>
      <w:r>
        <w:rPr>
          <w:b/>
          <w:bCs/>
          <w:color w:val="1a3a5c"/>
          <w:sz w:val="26"/>
          <w:szCs w:val="26"/>
        </w:rPr>
        <w:t xml:space="preserve">Twist</w:t>
      </w:r>
    </w:p>
    <w:p>
      <w:pPr>
        <w:spacing w:after="140"/>
      </w:pPr>
      <w:r>
        <w:t xml:space="preserve">Not built as a scripted mid-discussion reveal for this case — the “twist” here is structural rather than a dropped new fact, and it lives inside MA1 itself: the assumption a Hero is most likely to challenge upward (Year 1's 9%, the least-escalated and easiest to argue against) is also the lever most likely to flip the entire recommendation from B to A. Facilitators should treat the moment a student notices this — usually while working through Socratic Question 2 — as the twist moment, and can manufacture it directly by asking Question 2 if no student raises it unprompted.</w:t>
      </w:r>
    </w:p>
    <w:p>
      <w:pPr>
        <w:pStyle w:val="Heading2"/>
        <w:spacing w:after="120" w:before="220"/>
      </w:pPr>
      <w:r>
        <w:rPr>
          <w:b/>
          <w:bCs/>
          <w:color w:val="1a3a5c"/>
          <w:sz w:val="26"/>
          <w:szCs w:val="26"/>
        </w:rPr>
        <w:t xml:space="preserve">Guide Notes — the anchor ladder (SPEC Section 7, anchor-ladder subsection)</w:t>
      </w:r>
    </w:p>
    <w:p>
      <w:pPr>
        <w:spacing w:after="140"/>
      </w:pPr>
      <w:r>
        <w:rPr>
          <w:b/>
          <w:bCs/>
        </w:rPr>
        <w:t xml:space="preserve">Intro.</w:t>
      </w:r>
    </w:p>
    <w:p>
      <w:pPr>
        <w:spacing w:after="140"/>
      </w:pPr>
      <w:r>
        <w:t xml:space="preserve">Frame the format: three checkboxes, one shop tablet, one estimate Elena cannot fully afford today. This is a real household budgeting choice dressed as a car-repair worksheet, not the other way around.</w:t>
      </w:r>
    </w:p>
    <w:p>
      <w:pPr>
        <w:spacing w:after="140"/>
      </w:pPr>
      <w:r>
        <w:rPr>
          <w:b/>
          <w:bCs/>
        </w:rPr>
        <w:t xml:space="preserve">Launch.</w:t>
      </w:r>
    </w:p>
    <w:p>
      <w:pPr>
        <w:spacing w:after="140"/>
      </w:pPr>
      <w:r>
        <w:t xml:space="preserve">Read the Overview aloud. Stop at “she's not sure which of the shop's warnings is a real number and which one is just how shops talk.” Ask the room: “Before you've seen a single number, which of the three flagged items do you already suspect is the real risk, and which do you suspect is just how shops talk? Why?”</w:t>
      </w:r>
    </w:p>
    <w:p>
      <w:pPr>
        <w:spacing w:after="140"/>
      </w:pPr>
      <w:r>
        <w:rPr>
          <w:b/>
          <w:bCs/>
        </w:rPr>
        <w:t xml:space="preserve">Anchor 1 — Take a Stand and Vote.</w:t>
      </w:r>
    </w:p>
    <w:p>
      <w:pPr>
        <w:spacing w:after="140"/>
      </w:pPr>
      <w:r>
        <w:t xml:space="preserve">No reasoning yet. “Standing Order or Reactive Route — show of hands.” Record the split. Most rooms will split closer than they expect once they realize the shop's identical “overdue” tone is being used to sell three genuinely different risks.</w:t>
      </w:r>
    </w:p>
    <w:p>
      <w:pPr>
        <w:spacing w:after="140"/>
      </w:pPr>
      <w:r>
        <w:rPr>
          <w:b/>
          <w:bCs/>
        </w:rPr>
        <w:t xml:space="preserve">Anchor 2 — What Is The Problem We're Solving?</w:t>
      </w:r>
    </w:p>
    <w:p>
      <w:pPr>
        <w:spacing w:after="140"/>
      </w:pPr>
      <w:r>
        <w:t xml:space="preserve">Push the room past “which repair is scarier” toward “which of these three flagged items has a real, quantifiable expected cost, and which is priced on tone alone.” Let the room sit with the fact that Appendix B's own probabilities are not published anywhere — they are the case's stated Modeling Assumption, not a fact anyone can look up.</w:t>
      </w:r>
    </w:p>
    <w:p>
      <w:pPr>
        <w:spacing w:after="140"/>
      </w:pPr>
      <w:r>
        <w:rPr>
          <w:b/>
          <w:bCs/>
        </w:rPr>
        <w:t xml:space="preserve">Anchor 3 — What Is The Process?</w:t>
      </w:r>
    </w:p>
    <w:p>
      <w:pPr>
        <w:spacing w:after="140"/>
      </w:pPr>
      <w:r>
        <w:t xml:space="preserve">Before touching Appendix B's numbers, get the room to state the actual comparison method out loud: build the three-year conditional-probability table (D1), compound it into a single three-year failure risk (D2), then weight the repair cost by that risk to get an expected annual cost comparable to the flush's certain price (D3). Re-ask: “Now that we have a process, is 'which repair is scarier' still the right question?”</w:t>
      </w:r>
    </w:p>
    <w:p>
      <w:pPr>
        <w:spacing w:after="140"/>
      </w:pPr>
      <w:r>
        <w:rPr>
          <w:b/>
          <w:bCs/>
        </w:rPr>
        <w:t xml:space="preserve">Anchor 4 — What Don't We Know?</w:t>
      </w:r>
    </w:p>
    <w:p>
      <w:pPr>
        <w:spacing w:after="140"/>
      </w:pPr>
      <w:r>
        <w:t xml:space="preserve">Name the load-bearing unknown explicitly: nobody — not RepairPal, not the shop, not this case — has ever measured a real per-year probability schedule for a skipped coolant flush. “Is 9%/13%/20% a fact, or a stated, defensible guess? What would make a different guess just as defensible?”</w:t>
      </w:r>
    </w:p>
    <w:p>
      <w:pPr>
        <w:spacing w:after="140"/>
      </w:pPr>
      <w:r>
        <w:rPr>
          <w:b/>
          <w:bCs/>
        </w:rPr>
        <w:t xml:space="preserve">Data Deep Dive.</w:t>
      </w:r>
    </w:p>
    <w:p>
      <w:pPr>
        <w:spacing w:after="140"/>
      </w:pPr>
      <w:r>
        <w:t xml:space="preserve">Now open Appendices A–D. Run D1–D5 as a room, or have groups report out. This is also the moment to run Socratic Questions 1 and 3 (the expected-value logic and the compound-probability mechanics).</w:t>
      </w:r>
    </w:p>
    <w:p>
      <w:pPr>
        <w:spacing w:after="140"/>
      </w:pPr>
      <w:r>
        <w:rPr>
          <w:b/>
          <w:bCs/>
        </w:rPr>
        <w:t xml:space="preserve">Twist.</w:t>
      </w:r>
    </w:p>
    <w:p>
      <w:pPr>
        <w:spacing w:after="140"/>
      </w:pPr>
      <w:r>
        <w:t xml:space="preserve">Once D3's numbers are on the table and a recommendation has started to form, run Socratic Question 2 directly: “MA1's Year 1 number is 9%, and nobody measured it. If the real risk actually starts higher, does your recommendation survive?” Let the room discover that the margin is only 13.0% and the flip point is ~16.1% (against a current average of 14%) — closer than almost anyone will expect from a “the math says so” pitch, and that the fragile direction is upward, not downward.</w:t>
      </w:r>
    </w:p>
    <w:p>
      <w:pPr>
        <w:spacing w:after="140"/>
      </w:pPr>
      <w:r>
        <w:rPr>
          <w:b/>
          <w:bCs/>
        </w:rPr>
        <w:t xml:space="preserve">Close.</w:t>
      </w:r>
    </w:p>
    <w:p>
      <w:pPr>
        <w:spacing w:after="140"/>
      </w:pPr>
      <w:r>
        <w:t xml:space="preserve">VOTE AGAIN. “Did the vote move? For the people who didn't move, what would it take to change your mind — a different number, or a different assumption entirely?”</w:t>
      </w:r>
    </w:p>
    <w:p>
      <w:pPr>
        <w:spacing w:after="140"/>
      </w:pPr>
      <w:r>
        <w:rPr>
          <w:b/>
          <w:bCs/>
        </w:rPr>
        <w:t xml:space="preserve">Lessons Learned.</w:t>
      </w:r>
    </w:p>
    <w:p>
      <w:pPr>
        <w:spacing w:after="140"/>
      </w:pPr>
      <w:r>
        <w:t xml:space="preserve">The core transferable idea: an expected-value comparison can look decisive on paper while actually resting on an assumption a reasonable person could argue with — and the size of the margin (13.0%, against a flip point of ~16.1%) is exactly what tells you how much room that assumption has to be wrong before the “right” answer changes.</w:t>
      </w:r>
    </w:p>
    <w:p>
      <w:pPr>
        <w:spacing w:after="140"/>
      </w:pPr>
      <w:r>
        <w:rPr>
          <w:b/>
          <w:bCs/>
        </w:rPr>
        <w:t xml:space="preserve">Standards Touched On.</w:t>
      </w:r>
    </w:p>
    <w:p>
      <w:pPr>
        <w:spacing w:after="140"/>
      </w:pPr>
      <w:r>
        <w:t xml:space="preserve">Probability, Event, Outcome, Dependent Event, Conditional Probability; How to determine the probability of a single event; How to determine the probability of a compound event; How to determine the probability of conditional events; How to find the percent of a number.</w:t>
      </w:r>
    </w:p>
    <w:p>
      <w:pPr>
        <w:pStyle w:val="Heading2"/>
        <w:spacing w:after="120" w:before="220"/>
      </w:pPr>
      <w:r>
        <w:rPr>
          <w:b/>
          <w:bCs/>
          <w:color w:val="1a3a5c"/>
          <w:sz w:val="26"/>
          <w:szCs w:val="26"/>
        </w:rPr>
        <w:t xml:space="preserve">45-Minute Socratic Plan (SPEC §7.3)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a3a5c" w:val="clear"/>
            <w:tcMar>
              <w:top w:type="dxa" w:w="80"/>
              <w:left w:type="dxa" w:w="100"/>
              <w:bottom w:type="dxa" w:w="80"/>
              <w:right w:type="dxa" w:w="100"/>
            </w:tcMar>
          </w:tcPr>
          <w:p>
            <w:r>
              <w:rPr>
                <w:b/>
                <w:bCs/>
                <w:color w:val="FFFFFF"/>
                <w:sz w:val="20"/>
                <w:szCs w:val="20"/>
              </w:rPr>
              <w:t xml:space="preserve">Time</w:t>
            </w:r>
          </w:p>
        </w:tc>
        <w:tc>
          <w:tcPr>
            <w:tcW w:type="dxa" w:w="7100"/>
            <w:shd w:fill="1a3a5c" w:val="clear"/>
            <w:tcMar>
              <w:top w:type="dxa" w:w="80"/>
              <w:left w:type="dxa" w:w="100"/>
              <w:bottom w:type="dxa" w:w="80"/>
              <w:right w:type="dxa" w:w="100"/>
            </w:tcMar>
          </w:tcPr>
          <w:p>
            <w:r>
              <w:rPr>
                <w:b/>
                <w:bCs/>
                <w:color w:val="FFFFFF"/>
                <w:sz w:val="20"/>
                <w:szCs w:val="20"/>
              </w:rPr>
              <w:t xml:space="preserve">Move</w:t>
            </w:r>
          </w:p>
        </w:tc>
      </w:tr>
      <w:tr>
        <w:tc>
          <w:tcPr>
            <w:tcW w:type="dxa" w:w="2400"/>
            <w:tcMar>
              <w:top w:type="dxa" w:w="80"/>
              <w:left w:type="dxa" w:w="100"/>
              <w:bottom w:type="dxa" w:w="80"/>
              <w:right w:type="dxa" w:w="100"/>
            </w:tcMar>
          </w:tcPr>
          <w:p>
            <w:r>
              <w:rPr>
                <w:b w:val="false"/>
                <w:bCs w:val="false"/>
                <w:color w:val="000000"/>
                <w:sz w:val="20"/>
                <w:szCs w:val="20"/>
              </w:rPr>
              <w:t xml:space="preserve">0:00–3:00</w:t>
            </w:r>
          </w:p>
        </w:tc>
        <w:tc>
          <w:tcPr>
            <w:tcW w:type="dxa" w:w="7100"/>
            <w:tcMar>
              <w:top w:type="dxa" w:w="80"/>
              <w:left w:type="dxa" w:w="100"/>
              <w:bottom w:type="dxa" w:w="80"/>
              <w:right w:type="dxa" w:w="100"/>
            </w:tcMar>
          </w:tcPr>
          <w:p>
            <w:r>
              <w:rPr>
                <w:b w:val="false"/>
                <w:bCs w:val="false"/>
                <w:color w:val="000000"/>
                <w:sz w:val="20"/>
                <w:szCs w:val="20"/>
              </w:rPr>
              <w:t xml:space="preserve">Cold read of the Overview, gut-check vote (Anchor 1) — no numbers shown yet</w:t>
            </w:r>
          </w:p>
        </w:tc>
      </w:tr>
      <w:tr>
        <w:tc>
          <w:tcPr>
            <w:tcW w:type="dxa" w:w="2400"/>
            <w:shd w:fill="F7F9FB" w:val="clear"/>
            <w:tcMar>
              <w:top w:type="dxa" w:w="80"/>
              <w:left w:type="dxa" w:w="100"/>
              <w:bottom w:type="dxa" w:w="80"/>
              <w:right w:type="dxa" w:w="100"/>
            </w:tcMar>
          </w:tcPr>
          <w:p>
            <w:r>
              <w:rPr>
                <w:b w:val="false"/>
                <w:bCs w:val="false"/>
                <w:color w:val="000000"/>
                <w:sz w:val="20"/>
                <w:szCs w:val="20"/>
              </w:rPr>
              <w:t xml:space="preserve">3:00–8:00</w:t>
            </w:r>
          </w:p>
        </w:tc>
        <w:tc>
          <w:tcPr>
            <w:tcW w:type="dxa" w:w="7100"/>
            <w:shd w:fill="F7F9FB" w:val="clear"/>
            <w:tcMar>
              <w:top w:type="dxa" w:w="80"/>
              <w:left w:type="dxa" w:w="100"/>
              <w:bottom w:type="dxa" w:w="80"/>
              <w:right w:type="dxa" w:w="100"/>
            </w:tcMar>
          </w:tcPr>
          <w:p>
            <w:r>
              <w:rPr>
                <w:b w:val="false"/>
                <w:bCs w:val="false"/>
                <w:color w:val="000000"/>
                <w:sz w:val="20"/>
                <w:szCs w:val="20"/>
              </w:rPr>
              <w:t xml:space="preserve">Position defense: “Convince us your pick is the safer bet, not just the one that feels safer”</w:t>
            </w:r>
          </w:p>
        </w:tc>
      </w:tr>
      <w:tr>
        <w:tc>
          <w:tcPr>
            <w:tcW w:type="dxa" w:w="2400"/>
            <w:tcMar>
              <w:top w:type="dxa" w:w="80"/>
              <w:left w:type="dxa" w:w="100"/>
              <w:bottom w:type="dxa" w:w="80"/>
              <w:right w:type="dxa" w:w="100"/>
            </w:tcMar>
          </w:tcPr>
          <w:p>
            <w:r>
              <w:rPr>
                <w:b w:val="false"/>
                <w:bCs w:val="false"/>
                <w:color w:val="000000"/>
                <w:sz w:val="20"/>
                <w:szCs w:val="20"/>
              </w:rPr>
              <w:t xml:space="preserve">8:00–20:00</w:t>
            </w:r>
          </w:p>
        </w:tc>
        <w:tc>
          <w:tcPr>
            <w:tcW w:type="dxa" w:w="7100"/>
            <w:tcMar>
              <w:top w:type="dxa" w:w="80"/>
              <w:left w:type="dxa" w:w="100"/>
              <w:bottom w:type="dxa" w:w="80"/>
              <w:right w:type="dxa" w:w="100"/>
            </w:tcMar>
          </w:tcPr>
          <w:p>
            <w:r>
              <w:rPr>
                <w:b w:val="false"/>
                <w:bCs w:val="false"/>
                <w:color w:val="000000"/>
                <w:sz w:val="20"/>
                <w:szCs w:val="20"/>
              </w:rPr>
              <w:t xml:space="preserve">Data Deep Dive — build D1's conditional-probability table and D2's compound probability as a room</w:t>
            </w:r>
          </w:p>
        </w:tc>
      </w:tr>
      <w:tr>
        <w:tc>
          <w:tcPr>
            <w:tcW w:type="dxa" w:w="2400"/>
            <w:shd w:fill="F7F9FB" w:val="clear"/>
            <w:tcMar>
              <w:top w:type="dxa" w:w="80"/>
              <w:left w:type="dxa" w:w="100"/>
              <w:bottom w:type="dxa" w:w="80"/>
              <w:right w:type="dxa" w:w="100"/>
            </w:tcMar>
          </w:tcPr>
          <w:p>
            <w:r>
              <w:rPr>
                <w:b w:val="false"/>
                <w:bCs w:val="false"/>
                <w:color w:val="000000"/>
                <w:sz w:val="20"/>
                <w:szCs w:val="20"/>
              </w:rPr>
              <w:t xml:space="preserve">20:00–30:00</w:t>
            </w:r>
          </w:p>
        </w:tc>
        <w:tc>
          <w:tcPr>
            <w:tcW w:type="dxa" w:w="7100"/>
            <w:shd w:fill="F7F9FB" w:val="clear"/>
            <w:tcMar>
              <w:top w:type="dxa" w:w="80"/>
              <w:left w:type="dxa" w:w="100"/>
              <w:bottom w:type="dxa" w:w="80"/>
              <w:right w:type="dxa" w:w="100"/>
            </w:tcMar>
          </w:tcPr>
          <w:p>
            <w:r>
              <w:rPr>
                <w:b w:val="false"/>
                <w:bCs w:val="false"/>
                <w:color w:val="000000"/>
                <w:sz w:val="20"/>
                <w:szCs w:val="20"/>
              </w:rPr>
              <w:t xml:space="preserve">Build D3's expected-cost comparison; confirm the 13.0% margin and where it comes from</w:t>
            </w:r>
          </w:p>
        </w:tc>
      </w:tr>
      <w:tr>
        <w:tc>
          <w:tcPr>
            <w:tcW w:type="dxa" w:w="2400"/>
            <w:tcMar>
              <w:top w:type="dxa" w:w="80"/>
              <w:left w:type="dxa" w:w="100"/>
              <w:bottom w:type="dxa" w:w="80"/>
              <w:right w:type="dxa" w:w="100"/>
            </w:tcMar>
          </w:tcPr>
          <w:p>
            <w:r>
              <w:rPr>
                <w:b w:val="false"/>
                <w:bCs w:val="false"/>
                <w:color w:val="000000"/>
                <w:sz w:val="20"/>
                <w:szCs w:val="20"/>
              </w:rPr>
              <w:t xml:space="preserve">30:00 — DROP THE TWIST</w:t>
            </w:r>
          </w:p>
        </w:tc>
        <w:tc>
          <w:tcPr>
            <w:tcW w:type="dxa" w:w="7100"/>
            <w:tcMar>
              <w:top w:type="dxa" w:w="80"/>
              <w:left w:type="dxa" w:w="100"/>
              <w:bottom w:type="dxa" w:w="80"/>
              <w:right w:type="dxa" w:w="100"/>
            </w:tcMar>
          </w:tcPr>
          <w:p>
            <w:r>
              <w:rPr>
                <w:b w:val="false"/>
                <w:bCs w:val="false"/>
                <w:color w:val="000000"/>
                <w:sz w:val="20"/>
                <w:szCs w:val="20"/>
              </w:rPr>
              <w:t xml:space="preserve">Socratic Question 2: MA1's Year 1 number (9%) is unmeasured; if the real risk starts higher, does the recommendation survive?</w:t>
            </w:r>
          </w:p>
        </w:tc>
      </w:tr>
      <w:tr>
        <w:tc>
          <w:tcPr>
            <w:tcW w:type="dxa" w:w="2400"/>
            <w:shd w:fill="F7F9FB" w:val="clear"/>
            <w:tcMar>
              <w:top w:type="dxa" w:w="80"/>
              <w:left w:type="dxa" w:w="100"/>
              <w:bottom w:type="dxa" w:w="80"/>
              <w:right w:type="dxa" w:w="100"/>
            </w:tcMar>
          </w:tcPr>
          <w:p>
            <w:r>
              <w:rPr>
                <w:b w:val="false"/>
                <w:bCs w:val="false"/>
                <w:color w:val="000000"/>
                <w:sz w:val="20"/>
                <w:szCs w:val="20"/>
              </w:rPr>
              <w:t xml:space="preserve">30:00–38:00</w:t>
            </w:r>
          </w:p>
        </w:tc>
        <w:tc>
          <w:tcPr>
            <w:tcW w:type="dxa" w:w="7100"/>
            <w:shd w:fill="F7F9FB" w:val="clear"/>
            <w:tcMar>
              <w:top w:type="dxa" w:w="80"/>
              <w:left w:type="dxa" w:w="100"/>
              <w:bottom w:type="dxa" w:w="80"/>
              <w:right w:type="dxa" w:w="100"/>
            </w:tcMar>
          </w:tcPr>
          <w:p>
            <w:r>
              <w:rPr>
                <w:b w:val="false"/>
                <w:bCs w:val="false"/>
                <w:color w:val="000000"/>
                <w:sz w:val="20"/>
                <w:szCs w:val="20"/>
              </w:rPr>
              <w:t xml:space="preserve">Pressure-test MA1 directly: how close is 13.0% to the ~16.1% flip point, and what would a defensible challenge to any one year's number actually change?</w:t>
            </w:r>
          </w:p>
        </w:tc>
      </w:tr>
      <w:tr>
        <w:tc>
          <w:tcPr>
            <w:tcW w:type="dxa" w:w="2400"/>
            <w:tcMar>
              <w:top w:type="dxa" w:w="80"/>
              <w:left w:type="dxa" w:w="100"/>
              <w:bottom w:type="dxa" w:w="80"/>
              <w:right w:type="dxa" w:w="100"/>
            </w:tcMar>
          </w:tcPr>
          <w:p>
            <w:r>
              <w:rPr>
                <w:b w:val="false"/>
                <w:bCs w:val="false"/>
                <w:color w:val="000000"/>
                <w:sz w:val="20"/>
                <w:szCs w:val="20"/>
              </w:rPr>
              <w:t xml:space="preserve">38:00–45:00</w:t>
            </w:r>
          </w:p>
        </w:tc>
        <w:tc>
          <w:tcPr>
            <w:tcW w:type="dxa" w:w="7100"/>
            <w:tcMar>
              <w:top w:type="dxa" w:w="80"/>
              <w:left w:type="dxa" w:w="100"/>
              <w:bottom w:type="dxa" w:w="80"/>
              <w:right w:type="dxa" w:w="100"/>
            </w:tcMar>
          </w:tcPr>
          <w:p>
            <w:r>
              <w:rPr>
                <w:b w:val="false"/>
                <w:bCs w:val="false"/>
                <w:color w:val="000000"/>
                <w:sz w:val="20"/>
                <w:szCs w:val="20"/>
              </w:rPr>
              <w:t xml:space="preserve">Close, re-vote, D4's filtering exercise on the transmission/cabin-filter rows, lessons learned</w:t>
            </w:r>
          </w:p>
        </w:tc>
      </w:tr>
    </w:tbl>
    <w:p>
      <w:pPr>
        <w:pStyle w:val="Heading2"/>
        <w:spacing w:after="120" w:before="220"/>
      </w:pPr>
      <w:r>
        <w:rPr>
          <w:b/>
          <w:bCs/>
          <w:color w:val="1a3a5c"/>
          <w:sz w:val="26"/>
          <w:szCs w:val="26"/>
        </w:rPr>
        <w:t xml:space="preserve">Cohort Bands (SPEC Section 7, cohort-bands subsection)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700"/>
      </w:tblGrid>
      <w:tr>
        <w:trPr>
          <w:tblHeader/>
        </w:trPr>
        <w:tc>
          <w:tcPr>
            <w:tcW w:type="dxa" w:w="1900"/>
            <w:shd w:fill="1a3a5c" w:val="clear"/>
            <w:tcMar>
              <w:top w:type="dxa" w:w="80"/>
              <w:left w:type="dxa" w:w="100"/>
              <w:bottom w:type="dxa" w:w="80"/>
              <w:right w:type="dxa" w:w="100"/>
            </w:tcMar>
          </w:tcPr>
          <w:p>
            <w:r>
              <w:rPr>
                <w:b/>
                <w:bCs/>
                <w:color w:val="FFFFFF"/>
                <w:sz w:val="20"/>
                <w:szCs w:val="20"/>
              </w:rPr>
              <w:t xml:space="preserve">Band</w:t>
            </w:r>
          </w:p>
        </w:tc>
        <w:tc>
          <w:tcPr>
            <w:tcW w:type="dxa" w:w="1900"/>
            <w:shd w:fill="1a3a5c" w:val="clear"/>
            <w:tcMar>
              <w:top w:type="dxa" w:w="80"/>
              <w:left w:type="dxa" w:w="100"/>
              <w:bottom w:type="dxa" w:w="80"/>
              <w:right w:type="dxa" w:w="100"/>
            </w:tcMar>
          </w:tcPr>
          <w:p>
            <w:r>
              <w:rPr>
                <w:b/>
                <w:bCs/>
                <w:color w:val="FFFFFF"/>
                <w:sz w:val="20"/>
                <w:szCs w:val="20"/>
              </w:rPr>
              <w:t xml:space="preserve">Typical size</w:t>
            </w:r>
          </w:p>
        </w:tc>
        <w:tc>
          <w:tcPr>
            <w:tcW w:type="dxa" w:w="5700"/>
            <w:shd w:fill="1a3a5c" w:val="clear"/>
            <w:tcMar>
              <w:top w:type="dxa" w:w="80"/>
              <w:left w:type="dxa" w:w="100"/>
              <w:bottom w:type="dxa" w:w="80"/>
              <w:right w:type="dxa" w:w="100"/>
            </w:tcMar>
          </w:tcPr>
          <w:p>
            <w:r>
              <w:rPr>
                <w:b/>
                <w:bCs/>
                <w:color w:val="FFFFFF"/>
                <w:sz w:val="20"/>
                <w:szCs w:val="20"/>
              </w:rPr>
              <w:t xml:space="preserve">What changes</w:t>
            </w:r>
          </w:p>
        </w:tc>
      </w:tr>
      <w:tr>
        <w:tc>
          <w:tcPr>
            <w:tcW w:type="dxa" w:w="1900"/>
            <w:tcMar>
              <w:top w:type="dxa" w:w="80"/>
              <w:left w:type="dxa" w:w="100"/>
              <w:bottom w:type="dxa" w:w="80"/>
              <w:right w:type="dxa" w:w="100"/>
            </w:tcMar>
          </w:tcPr>
          <w:p>
            <w:r>
              <w:rPr>
                <w:b w:val="false"/>
                <w:bCs w:val="false"/>
                <w:color w:val="000000"/>
                <w:sz w:val="20"/>
                <w:szCs w:val="20"/>
              </w:rPr>
              <w:t xml:space="preserve">Full (12–20)</w:t>
            </w:r>
          </w:p>
        </w:tc>
        <w:tc>
          <w:tcPr>
            <w:tcW w:type="dxa" w:w="1900"/>
            <w:tcMar>
              <w:top w:type="dxa" w:w="80"/>
              <w:left w:type="dxa" w:w="100"/>
              <w:bottom w:type="dxa" w:w="80"/>
              <w:right w:type="dxa" w:w="100"/>
            </w:tcMar>
          </w:tcPr>
          <w:p>
            <w:r>
              <w:rPr>
                <w:b w:val="false"/>
                <w:bCs w:val="false"/>
                <w:color w:val="000000"/>
                <w:sz w:val="20"/>
                <w:szCs w:val="20"/>
              </w:rPr>
              <w:t xml:space="preserve">the size this case is written for</w:t>
            </w:r>
          </w:p>
        </w:tc>
        <w:tc>
          <w:tcPr>
            <w:tcW w:type="dxa" w:w="5700"/>
            <w:tcMar>
              <w:top w:type="dxa" w:w="80"/>
              <w:left w:type="dxa" w:w="100"/>
              <w:bottom w:type="dxa" w:w="80"/>
              <w:right w:type="dxa" w:w="100"/>
            </w:tcMar>
          </w:tcPr>
          <w:p>
            <w:r>
              <w:rPr>
                <w:b w:val="false"/>
                <w:bCs w:val="false"/>
                <w:color w:val="000000"/>
                <w:sz w:val="20"/>
                <w:szCs w:val="20"/>
              </w:rPr>
              <w:t xml:space="preserve">Anchors and the 45-minute timed plan run as written above</w:t>
            </w:r>
          </w:p>
        </w:tc>
      </w:tr>
      <w:tr>
        <w:tc>
          <w:tcPr>
            <w:tcW w:type="dxa" w:w="1900"/>
            <w:shd w:fill="F7F9FB" w:val="clear"/>
            <w:tcMar>
              <w:top w:type="dxa" w:w="80"/>
              <w:left w:type="dxa" w:w="100"/>
              <w:bottom w:type="dxa" w:w="80"/>
              <w:right w:type="dxa" w:w="100"/>
            </w:tcMar>
          </w:tcPr>
          <w:p>
            <w:r>
              <w:rPr>
                <w:b w:val="false"/>
                <w:bCs w:val="false"/>
                <w:color w:val="000000"/>
                <w:sz w:val="20"/>
                <w:szCs w:val="20"/>
              </w:rPr>
              <w:t xml:space="preserve">Compressed (6–11)</w:t>
            </w:r>
          </w:p>
        </w:tc>
        <w:tc>
          <w:tcPr>
            <w:tcW w:type="dxa" w:w="1900"/>
            <w:shd w:fill="F7F9FB" w:val="clear"/>
            <w:tcMar>
              <w:top w:type="dxa" w:w="80"/>
              <w:left w:type="dxa" w:w="100"/>
              <w:bottom w:type="dxa" w:w="80"/>
              <w:right w:type="dxa" w:w="100"/>
            </w:tcMar>
          </w:tcPr>
          <w:p>
            <w:r>
              <w:rPr>
                <w:b w:val="false"/>
                <w:bCs w:val="false"/>
                <w:color w:val="000000"/>
                <w:sz w:val="20"/>
                <w:szCs w:val="20"/>
              </w:rPr>
              <w:t xml:space="preserve">smaller room</w:t>
            </w:r>
          </w:p>
        </w:tc>
        <w:tc>
          <w:tcPr>
            <w:tcW w:type="dxa" w:w="5700"/>
            <w:shd w:fill="F7F9FB" w:val="clear"/>
            <w:tcMar>
              <w:top w:type="dxa" w:w="80"/>
              <w:left w:type="dxa" w:w="100"/>
              <w:bottom w:type="dxa" w:w="80"/>
              <w:right w:type="dxa" w:w="100"/>
            </w:tcMar>
          </w:tcPr>
          <w:p>
            <w:r>
              <w:rPr>
                <w:b w:val="false"/>
                <w:bCs w:val="false"/>
                <w:color w:val="000000"/>
                <w:sz w:val="20"/>
                <w:szCs w:val="20"/>
              </w:rPr>
              <w:t xml:space="preserve">Anchors 2–3 combine into one pass; the 20:00–30:00 expected-cost build-out runs as a single worked example instead of small-group work; total runtime shortens proportionally</w:t>
            </w:r>
          </w:p>
        </w:tc>
      </w:tr>
      <w:tr>
        <w:tc>
          <w:tcPr>
            <w:tcW w:type="dxa" w:w="1900"/>
            <w:tcMar>
              <w:top w:type="dxa" w:w="80"/>
              <w:left w:type="dxa" w:w="100"/>
              <w:bottom w:type="dxa" w:w="80"/>
              <w:right w:type="dxa" w:w="100"/>
            </w:tcMar>
          </w:tcPr>
          <w:p>
            <w:r>
              <w:rPr>
                <w:b w:val="false"/>
                <w:bCs w:val="false"/>
                <w:color w:val="000000"/>
                <w:sz w:val="20"/>
                <w:szCs w:val="20"/>
              </w:rPr>
              <w:t xml:space="preserve">1:1 / pair (1–2)</w:t>
            </w:r>
          </w:p>
        </w:tc>
        <w:tc>
          <w:tcPr>
            <w:tcW w:type="dxa" w:w="1900"/>
            <w:tcMar>
              <w:top w:type="dxa" w:w="80"/>
              <w:left w:type="dxa" w:w="100"/>
              <w:bottom w:type="dxa" w:w="80"/>
              <w:right w:type="dxa" w:w="100"/>
            </w:tcMar>
          </w:tcPr>
          <w:p>
            <w:r>
              <w:rPr>
                <w:b w:val="false"/>
                <w:bCs w:val="false"/>
                <w:color w:val="000000"/>
                <w:sz w:val="20"/>
                <w:szCs w:val="20"/>
              </w:rPr>
              <w:t xml:space="preserve">tutoring context</w:t>
            </w:r>
          </w:p>
        </w:tc>
        <w:tc>
          <w:tcPr>
            <w:tcW w:type="dxa" w:w="5700"/>
            <w:tcMar>
              <w:top w:type="dxa" w:w="80"/>
              <w:left w:type="dxa" w:w="100"/>
              <w:bottom w:type="dxa" w:w="80"/>
              <w:right w:type="dxa" w:w="100"/>
            </w:tcMar>
          </w:tcPr>
          <w:p>
            <w:r>
              <w:rPr>
                <w:b w:val="false"/>
                <w:bCs w:val="false"/>
                <w:color w:val="000000"/>
                <w:sz w:val="20"/>
                <w:szCs w:val="20"/>
              </w:rPr>
              <w:t xml:space="preserve">No vote at Anchor 1 — ask for a stated initial position and why instead; the facilitator plays devil's advocate directly rather than cold-calling the room; the MA1 pressure-test (30:00–38:00) still runs in full, since it is the single most important move in the case</w:t>
            </w:r>
          </w:p>
        </w:tc>
      </w:tr>
    </w:tbl>
    <w:p>
      <w:pPr>
        <w:pStyle w:val="Heading2"/>
        <w:spacing w:after="120" w:before="220"/>
      </w:pPr>
      <w:r>
        <w:rPr>
          <w:b/>
          <w:bCs/>
          <w:color w:val="1a3a5c"/>
          <w:sz w:val="26"/>
          <w:szCs w:val="26"/>
        </w:rPr>
        <w:t xml:space="preserve">What a Strong Defense Sounds Like</w:t>
      </w:r>
    </w:p>
    <w:p>
      <w:pPr>
        <w:spacing w:after="140"/>
      </w:pPr>
      <w:r>
        <w:t xml:space="preserve">This case has no single right answer, so there is no answer key to grade against — but a strong defense has a recognizable shape. It builds D1's conditional-probability table with the conditioning stated in words, not just numbers stacked in a column. It computes D2's compound probability via the complement rule rather than by adding the three yearly probabilities together, and shows the arithmetic. It builds D3's expected-cost comparison as three separate year-by-year rows (never collapsing D2's compound figure into a single per-year multiplier), and states the resulting margin without treating it as an unchallengeable verdict — a strong pitch names which assumption (MA1) the recommendation is most sensitive to, and in which direction. And it treats Appendix C's D4 filtering exercise as a genuine second decision, defended by each service's own three-year probability rather than by the shop's shared tone or similar price.</w:t>
      </w:r>
    </w:p>
    <w:p>
      <w:pPr>
        <w:pStyle w:val="Heading2"/>
        <w:spacing w:after="120" w:before="220"/>
      </w:pPr>
      <w:r>
        <w:rPr>
          <w:b/>
          <w:bCs/>
          <w:color w:val="1a3a5c"/>
          <w:sz w:val="26"/>
          <w:szCs w:val="26"/>
        </w:rPr>
        <w:t xml:space="preserve">Skills Exercised</w:t>
      </w:r>
    </w:p>
    <w:p>
      <w:pPr>
        <w:pStyle w:val="ListParagraph"/>
        <w:numPr>
          <w:ilvl w:val="0"/>
          <w:numId w:val="2"/>
        </w:numPr>
        <w:spacing w:after="100"/>
      </w:pPr>
      <w:r>
        <w:t xml:space="preserve">Probability, Event, Outcome — naming the underlying random experiment and its outcomes precisely enough to build a table.</w:t>
      </w:r>
    </w:p>
    <w:p>
      <w:pPr>
        <w:pStyle w:val="ListParagraph"/>
        <w:numPr>
          <w:ilvl w:val="0"/>
          <w:numId w:val="2"/>
        </w:numPr>
        <w:spacing w:after="100"/>
      </w:pPr>
      <w:r>
        <w:t xml:space="preserve">Dependent Event, Conditional Probability — building a three-year conditional-probability table where each year's figure is stated given the prior years' non-failure.</w:t>
      </w:r>
    </w:p>
    <w:p>
      <w:pPr>
        <w:pStyle w:val="ListParagraph"/>
        <w:numPr>
          <w:ilvl w:val="0"/>
          <w:numId w:val="2"/>
        </w:numPr>
        <w:spacing w:after="100"/>
      </w:pPr>
      <w:r>
        <w:t xml:space="preserve">How to determine the probability of a single event — reading Appendix B's per-year figures correctly.</w:t>
      </w:r>
    </w:p>
    <w:p>
      <w:pPr>
        <w:pStyle w:val="ListParagraph"/>
        <w:numPr>
          <w:ilvl w:val="0"/>
          <w:numId w:val="2"/>
        </w:numPr>
        <w:spacing w:after="100"/>
      </w:pPr>
      <w:r>
        <w:t xml:space="preserve">How to determine the probability of a compound event — computing the three-year compound failure probability via the complement rule.</w:t>
      </w:r>
    </w:p>
    <w:p>
      <w:pPr>
        <w:pStyle w:val="ListParagraph"/>
        <w:numPr>
          <w:ilvl w:val="0"/>
          <w:numId w:val="2"/>
        </w:numPr>
        <w:spacing w:after="100"/>
      </w:pPr>
      <w:r>
        <w:t xml:space="preserve">How to determine the probability of conditional events — chaining Year 1/2/3's conditional probabilities correctly in D1 and D2.</w:t>
      </w:r>
    </w:p>
    <w:p>
      <w:pPr>
        <w:pStyle w:val="ListParagraph"/>
        <w:numPr>
          <w:ilvl w:val="0"/>
          <w:numId w:val="2"/>
        </w:numPr>
        <w:spacing w:after="100"/>
      </w:pPr>
      <w:r>
        <w:t xml:space="preserve">How to find the percent of a number — computing each year's expected cost (probability × repair cost) in D3.</w:t>
      </w:r>
    </w:p>
    <w:p>
      <w:pPr>
        <w:pStyle w:val="ListParagraph"/>
        <w:numPr>
          <w:ilvl w:val="0"/>
          <w:numId w:val="2"/>
        </w:numPr>
        <w:spacing w:after="100"/>
      </w:pPr>
      <w:r>
        <w:t xml:space="preserve">Sensitivity reasoning — recognizing that a stated Modeling Assumption (MA1) is a decision under uncertainty, not a fact, and locating how much room it has to be wrong before the recommendation flips.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2026-09-05T22:44:09.235Z</dcterms:created>
  <dcterms:modified xsi:type="dcterms:W3CDTF">2026-09-05T22:44:09.235Z</dcterms:modified>
</cp:coreProperties>
</file>

<file path=docProps/custom.xml><?xml version="1.0" encoding="utf-8"?>
<Properties xmlns="http://schemas.openxmlformats.org/officeDocument/2006/custom-properties" xmlns:vt="http://schemas.openxmlformats.org/officeDocument/2006/docPropsVTypes"/>
</file>