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Case Study: The Lease Break</w:t>
      </w:r>
    </w:p>
    <w:p>
      <w:pPr>
        <w:spacing w:after="300"/>
      </w:pPr>
      <w:r>
        <w:rPr>
          <w:b/>
          <w:bCs/>
          <w:color w:val="5b6472"/>
          <w:sz w:val="18"/>
          <w:szCs w:val="18"/>
        </w:rPr>
        <w:t xml:space="preserve">MS | Math | Case Study | 2026-27 | Adventure</w:t>
      </w:r>
    </w:p>
    <w:p>
      <w:pPr>
        <w:pBdr>
          <w:bottom w:val="single" w:color="dfe4ea" w:sz="6" w:space="1"/>
        </w:pBdr>
        <w:spacing w:after="200"/>
      </w:pPr>
    </w:p>
    <w:p>
      <w:pPr>
        <w:pStyle w:val="Heading1"/>
        <w:spacing w:after="120" w:before="300"/>
      </w:pPr>
      <w:r>
        <w:t xml:space="preserve">Overview</w:t>
      </w:r>
    </w:p>
    <w:p>
      <w:pPr>
        <w:spacing w:after="160"/>
      </w:pPr>
      <w:r>
        <w:t xml:space="preserve">Maya Ferris has two PDFs open on her laptop, side by side, and a cursor parked in neither. The coffee shop around her is emptying out; the barista has already flipped the chair onto the table two seats over. Her phone lights up again, screen-up this time on the table between the laptop and a half-eaten bagel: “can they push the contract a while longer? nothing confirmed yet — sorry.” It’s the third version of that text in two weeks, and it still doesn’t say yes.</w:t>
      </w:r>
    </w:p>
    <w:p>
      <w:pPr>
        <w:spacing w:after="160"/>
      </w:pPr>
      <w:r>
        <w:t xml:space="preserve">She scrolls back up the first lease. Move-in cost due at signing sits in bold near the top, and just below it, in smaller print, the clause about what happens if she leaves before the term is up. She’d read that clause four times now. The second lease’s number at the top is bigger. The clause below it is shorter.</w:t>
      </w:r>
    </w:p>
    <w:p>
      <w:pPr>
        <w:spacing w:after="160"/>
      </w:pPr>
      <w:r>
        <w:t xml:space="preserve">Her leasing agent’s email sits unanswered, subject line “Move forward today?” — the studio she’s currently subletting turns over to its next tenant in days, and both landlords need a signed lease before end of business to hold the unit. Maya opens a blank spreadsheet in a third tab, types a column header, deletes it, and looks back at the two PDFs. She still hasn’t decided which one to sign.</w:t>
      </w:r>
    </w:p>
    <w:p>
      <w:pPr>
        <w:pStyle w:val="Heading1"/>
        <w:spacing w:after="120" w:before="300"/>
      </w:pPr>
      <w:r>
        <w:t xml:space="preserve">Background</w:t>
      </w:r>
    </w:p>
    <w:p>
      <w:pPr>
        <w:spacing w:after="160"/>
      </w:pPr>
      <w:r>
        <w:t xml:space="preserve">Maya Ferris is a contract quality-assurance tester on a fixed-term engagement with a software company two transit stops from downtown. Her contract is for a stated term with an option to extend that neither she nor her manager can confirm yet — extensions on her team have gone either way before (SEE APPENDIX C). She is responsible for her own housing budget and, because her current sublet is ending, for signing a new lease before her landlord’s deadline (SEE APPENDIX C).</w:t>
      </w:r>
    </w:p>
    <w:p>
      <w:pPr>
        <w:spacing w:after="160"/>
      </w:pPr>
      <w:r>
        <w:t xml:space="preserve">Two units are on the table, both move-in ready and both requiring a decision today. </w:t>
      </w:r>
      <w:r>
        <w:rPr>
          <w:b/>
          <w:bCs/>
        </w:rPr>
        <w:t xml:space="preserve">The Cedarline</w:t>
      </w:r>
      <w:r>
        <w:t xml:space="preserve"> is a studio with the lower monthly rent of the two, but it carries a large non-refundable move-in fee due at signing and a steep early-termination penalty if Maya leaves before the lease’s full term is up (SEE APPENDIX A). </w:t>
      </w:r>
      <w:r>
        <w:rPr>
          <w:b/>
          <w:bCs/>
        </w:rPr>
        <w:t xml:space="preserve">The Aldergate</w:t>
      </w:r>
      <w:r>
        <w:t xml:space="preserve"> is a one-bedroom with a somewhat higher monthly rent, a smaller and more conventional security deposit, and a lease-break clause that lets her exit early for a stated buyout of one month’s rent (SEE APPENDIX B).</w:t>
      </w:r>
    </w:p>
    <w:p>
      <w:pPr>
        <w:spacing w:after="160"/>
      </w:pPr>
      <w:r>
        <w:t xml:space="preserve">Maya’s contract situation is the reason this is a real decision and not an obvious one: if her contract runs its full stated term with no extension, she may need to move again the moment it ends; if it extends, she stays put for the long haul. Either lease is affordable against her stated monthly housing budget for a full year (SEE APPENDIX C), so the sticker-price comparison alone does not settle it — what settles it is what each lease actually costs per month she actually lives there, under both the scenario where she stays the full term and the scenario where she has to break the lease partway through.</w:t>
      </w:r>
    </w:p>
    <w:p>
      <w:pPr>
        <w:spacing w:after="160"/>
      </w:pPr>
      <w:r>
        <w:t xml:space="preserve">Full source citations for every dollar figure in Appendices A and B are in Appendix D. The vocabulary and “how to…” skills this case will ask you to research are listed in Appendix E — that is where Challenge 1 sends you.</w:t>
      </w:r>
    </w:p>
    <w:p>
      <w:pPr>
        <w:pStyle w:val="Heading1"/>
        <w:spacing w:after="120" w:before="300"/>
      </w:pPr>
      <w:r>
        <w:t xml:space="preserve">Dilemma</w:t>
      </w:r>
    </w:p>
    <w:p>
      <w:pPr>
        <w:spacing w:after="160"/>
      </w:pPr>
      <w:r>
        <w:rPr>
          <w:b/>
          <w:bCs/>
        </w:rPr>
        <w:t xml:space="preserve">You are Maya Ferris.</w:t>
      </w:r>
    </w:p>
    <w:p>
      <w:pPr>
        <w:spacing w:after="160"/>
      </w:pPr>
      <w:r>
        <w:t xml:space="preserve">Do you:</w:t>
      </w:r>
    </w:p>
    <w:p>
      <w:pPr>
        <w:spacing w:after="160"/>
      </w:pPr>
      <w:r>
        <w:rPr>
          <w:b/>
          <w:bCs/>
        </w:rPr>
        <w:t xml:space="preserve">A.) </w:t>
      </w:r>
      <w:r>
        <w:t xml:space="preserve">Sign </w:t>
      </w:r>
      <w:r>
        <w:rPr>
          <w:b/>
          <w:bCs/>
        </w:rPr>
        <w:t xml:space="preserve">The Cedarline</w:t>
      </w:r>
      <w:r>
        <w:t xml:space="preserve"> — lower monthly rent, but a large non-refundable move-in fee and a steep early-termination penalty </w:t>
      </w:r>
      <w:r>
        <w:rPr>
          <w:b/>
          <w:bCs/>
        </w:rPr>
        <w:t xml:space="preserve">OR</w:t>
      </w:r>
    </w:p>
    <w:p>
      <w:pPr>
        <w:spacing w:after="160"/>
      </w:pPr>
      <w:r>
        <w:rPr>
          <w:b/>
          <w:bCs/>
        </w:rPr>
        <w:t xml:space="preserve">B.) </w:t>
      </w:r>
      <w:r>
        <w:t xml:space="preserve">Sign </w:t>
      </w:r>
      <w:r>
        <w:rPr>
          <w:b/>
          <w:bCs/>
        </w:rPr>
        <w:t xml:space="preserve">The Aldergate</w:t>
      </w:r>
      <w:r>
        <w:t xml:space="preserve"> — slightly higher monthly rent, a smaller security deposit, and a lease that can be broken early for one month’s rent</w:t>
      </w:r>
    </w:p>
    <w:p>
      <w:pPr>
        <w:pStyle w:val="Heading1"/>
        <w:spacing w:after="120" w:before="30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pStyle w:val="ListParagraph"/>
        <w:numPr>
          <w:ilvl w:val="0"/>
          <w:numId w:val="2"/>
        </w:numPr>
        <w:spacing w:after="80"/>
      </w:pPr>
      <w:r>
        <w:t xml:space="preserve">a.) Use of the “how to…” resource you researched in Challenge 1.</w:t>
      </w:r>
    </w:p>
    <w:p>
      <w:pPr>
        <w:pStyle w:val="ListParagraph"/>
        <w:numPr>
          <w:ilvl w:val="0"/>
          <w:numId w:val="2"/>
        </w:numPr>
        <w:spacing w:after="80"/>
      </w:pPr>
      <w:r>
        <w:t xml:space="preserve">b.) At least one original visual display of the data.</w:t>
      </w:r>
    </w:p>
    <w:p>
      <w:pPr>
        <w:spacing w:after="160"/>
      </w:pPr>
      <w:r>
        <w:t xml:space="preserve">3.) Include the following:</w:t>
      </w:r>
    </w:p>
    <w:p>
      <w:pPr>
        <w:pStyle w:val="ListParagraph"/>
        <w:numPr>
          <w:ilvl w:val="0"/>
          <w:numId w:val="2"/>
        </w:numPr>
        <w:spacing w:after="80"/>
      </w:pPr>
      <w:r>
        <w:t xml:space="preserve">D1 — A lease-terms comparison table. Using Appendices A and B, lay out The Cedarline and The Aldergate side by side: monthly rent, up-front move-in cost (fee or deposit), lease term length, and early-termination terms, for both units.</w:t>
      </w:r>
    </w:p>
    <w:p>
      <w:pPr>
        <w:pStyle w:val="ListParagraph"/>
        <w:numPr>
          <w:ilvl w:val="0"/>
          <w:numId w:val="2"/>
        </w:numPr>
        <w:spacing w:after="80"/>
      </w:pPr>
      <w:r>
        <w:t xml:space="preserve">D2 — A “stay full term” effective-monthly-cost calculation for each lease. Amortize each lease’s up-front move-in cost across the full number of months in its stated term (Appendix A, Appendix B), and add that to the monthly rent, to find each unit’s true effective cost per month if Maya stays for the entire lease.</w:t>
      </w:r>
    </w:p>
    <w:p>
      <w:pPr>
        <w:pStyle w:val="ListParagraph"/>
        <w:numPr>
          <w:ilvl w:val="0"/>
          <w:numId w:val="2"/>
        </w:numPr>
        <w:spacing w:after="80"/>
      </w:pPr>
      <w:r>
        <w:t xml:space="preserve">D3 — A “break at month 6” effective-monthly-cost calculation for each lease. Using Appendix C’s stated point at which Maya’s contract situation would force an early move, amortize each lease’s up-front move-in cost and its early-termination penalty (Appendix A, Appendix B) across only the months Maya actually lives there, to find each unit’s true effective cost per month under an early break.</w:t>
      </w:r>
    </w:p>
    <w:p>
      <w:pPr>
        <w:pStyle w:val="ListParagraph"/>
        <w:numPr>
          <w:ilvl w:val="0"/>
          <w:numId w:val="2"/>
        </w:numPr>
        <w:spacing w:after="80"/>
      </w:pPr>
      <w:r>
        <w:t xml:space="preserve">D4 — A deposit-and-total-cost percent table. For each lease, calculate the up-front move-in cost as a percent of one month’s rent, and calculate each scenario’s total cost (D2’s or D3’s total, not the per-month figure) as a percent of what a full year of that unit’s stated monthly rent alone would cost. Show the arithmetic for both directions — finding a percent of a number, and finding a whole given a percent and a part.</w:t>
      </w:r>
    </w:p>
    <w:p>
      <w:pPr>
        <w:pStyle w:val="ListParagraph"/>
        <w:numPr>
          <w:ilvl w:val="0"/>
          <w:numId w:val="2"/>
        </w:numPr>
        <w:spacing w:after="80"/>
      </w:pPr>
      <w:r>
        <w:t xml:space="preserve">D5 — A recommendation memo. State which lease Maya should sign, defended with D2’s and D3’s effective-monthly-cost numbers under both scenarios, and naming explicitly why comparing sticker-price monthly rent alone would have been the wrong way to decide.</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w:t>
      </w:r>
      <w:r>
        <w:rPr>
          <w:i/>
          <w:iCs/>
        </w:rPr>
        <w:t xml:space="preserve">If you are absent the day of a discussion post 500 “excellent” words on the questions above.</w:t>
      </w:r>
    </w:p>
    <w:p>
      <w:pPr>
        <w:pStyle w:val="Heading1"/>
        <w:spacing w:after="120" w:before="300"/>
      </w:pPr>
      <w:r>
        <w:t xml:space="preserve">Appendix A — The Cedarline: Lease Terms</w:t>
      </w:r>
    </w:p>
    <w:p>
      <w:pPr>
        <w:spacing w:after="160"/>
      </w:pPr>
      <w:r>
        <w:t xml:space="preserve">The Cedarline is a studio unit. It advertises the lower of the two monthly rents, but its move-in cost and its exit terms are steeper.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1a3a5c" w:color="auto" w:val="clear"/>
          </w:tcPr>
          <w:p>
            <w:r>
              <w:rPr>
                <w:b/>
                <w:bCs/>
                <w:color w:val="FFFFFF"/>
                <w:sz w:val="20"/>
                <w:szCs w:val="20"/>
              </w:rPr>
              <w:t xml:space="preserve">Item</w:t>
            </w:r>
          </w:p>
        </w:tc>
        <w:tc>
          <w:tcPr>
            <w:tcW w:type="dxa" w:w="3000"/>
            <w:shd w:fill="1a3a5c" w:color="auto" w:val="clear"/>
          </w:tcPr>
          <w:p>
            <w:r>
              <w:rPr>
                <w:b/>
                <w:bCs/>
                <w:color w:val="FFFFFF"/>
                <w:sz w:val="20"/>
                <w:szCs w:val="20"/>
              </w:rPr>
              <w:t xml:space="preserve">Value</w:t>
            </w:r>
          </w:p>
        </w:tc>
      </w:tr>
      <w:tr>
        <w:tc>
          <w:tcPr>
            <w:tcW w:type="dxa" w:w="6500"/>
          </w:tcPr>
          <w:p>
            <w:r>
              <w:rPr>
                <w:b w:val="false"/>
                <w:bCs w:val="false"/>
                <w:sz w:val="20"/>
                <w:szCs w:val="20"/>
              </w:rPr>
              <w:t xml:space="preserve">Monthly rent</w:t>
            </w:r>
          </w:p>
        </w:tc>
        <w:tc>
          <w:tcPr>
            <w:tcW w:type="dxa" w:w="3000"/>
          </w:tcPr>
          <w:p>
            <w:r>
              <w:rPr>
                <w:b w:val="false"/>
                <w:bCs w:val="false"/>
                <w:sz w:val="20"/>
                <w:szCs w:val="20"/>
              </w:rPr>
              <w:t xml:space="preserve">$1,447 [S1]</w:t>
            </w:r>
          </w:p>
        </w:tc>
      </w:tr>
      <w:tr>
        <w:tc>
          <w:tcPr>
            <w:tcW w:type="dxa" w:w="6500"/>
          </w:tcPr>
          <w:p>
            <w:r>
              <w:rPr>
                <w:b w:val="false"/>
                <w:bCs w:val="false"/>
                <w:sz w:val="20"/>
                <w:szCs w:val="20"/>
              </w:rPr>
              <w:t xml:space="preserve">Non-refundable move-in fee (due at signing, not returned at move-out)</w:t>
            </w:r>
          </w:p>
        </w:tc>
        <w:tc>
          <w:tcPr>
            <w:tcW w:type="dxa" w:w="3000"/>
          </w:tcPr>
          <w:p>
            <w:r>
              <w:rPr>
                <w:b w:val="false"/>
                <w:bCs w:val="false"/>
                <w:sz w:val="20"/>
                <w:szCs w:val="20"/>
              </w:rPr>
              <w:t xml:space="preserve">$434 [MA1]</w:t>
            </w:r>
          </w:p>
        </w:tc>
      </w:tr>
      <w:tr>
        <w:tc>
          <w:tcPr>
            <w:tcW w:type="dxa" w:w="6500"/>
          </w:tcPr>
          <w:p>
            <w:r>
              <w:rPr>
                <w:b w:val="false"/>
                <w:bCs w:val="false"/>
                <w:sz w:val="20"/>
                <w:szCs w:val="20"/>
              </w:rPr>
              <w:t xml:space="preserve">Lease term</w:t>
            </w:r>
          </w:p>
        </w:tc>
        <w:tc>
          <w:tcPr>
            <w:tcW w:type="dxa" w:w="3000"/>
          </w:tcPr>
          <w:p>
            <w:r>
              <w:rPr>
                <w:b w:val="false"/>
                <w:bCs w:val="false"/>
                <w:sz w:val="20"/>
                <w:szCs w:val="20"/>
              </w:rPr>
              <w:t xml:space="preserve">12 months [S4]</w:t>
            </w:r>
          </w:p>
        </w:tc>
      </w:tr>
      <w:tr>
        <w:tc>
          <w:tcPr>
            <w:tcW w:type="dxa" w:w="6500"/>
          </w:tcPr>
          <w:p>
            <w:r>
              <w:rPr>
                <w:b w:val="false"/>
                <w:bCs w:val="false"/>
                <w:sz w:val="20"/>
                <w:szCs w:val="20"/>
              </w:rPr>
              <w:t xml:space="preserve">Early-termination penalty</w:t>
            </w:r>
          </w:p>
        </w:tc>
        <w:tc>
          <w:tcPr>
            <w:tcW w:type="dxa" w:w="3000"/>
          </w:tcPr>
          <w:p>
            <w:r>
              <w:rPr>
                <w:b w:val="false"/>
                <w:bCs w:val="false"/>
                <w:sz w:val="20"/>
                <w:szCs w:val="20"/>
              </w:rPr>
              <w:t xml:space="preserve">$5,065 — flat fee equal to 3.5 months' rent [MA2]</w:t>
            </w:r>
          </w:p>
        </w:tc>
      </w:tr>
    </w:tbl>
    <w:p>
      <w:pPr>
        <w:spacing w:after="160"/>
      </w:pPr>
      <w:r>
        <w:rPr>
          <w:i/>
          <w:iCs/>
          <w:color w:val="5b6472"/>
          <w:sz w:val="18"/>
          <w:szCs w:val="18"/>
        </w:rPr>
        <w:t xml:space="preserve">Referenced from Background and Dilemma; forces D1–D4.</w:t>
      </w:r>
    </w:p>
    <w:p>
      <w:pPr>
        <w:pStyle w:val="Heading1"/>
        <w:spacing w:after="120" w:before="300"/>
      </w:pPr>
      <w:r>
        <w:t xml:space="preserve">Appendix B — The Aldergate: Lease Terms</w:t>
      </w:r>
    </w:p>
    <w:p>
      <w:pPr>
        <w:spacing w:after="160"/>
      </w:pPr>
      <w:r>
        <w:t xml:space="preserve">The Aldergate is a one-bedroom unit. It advertises a somewhat higher monthly rent than The Cedarline, but a smaller, more conventional up-front cost and a stated, capped exit cost.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1a3a5c" w:color="auto" w:val="clear"/>
          </w:tcPr>
          <w:p>
            <w:r>
              <w:rPr>
                <w:b/>
                <w:bCs/>
                <w:color w:val="FFFFFF"/>
                <w:sz w:val="20"/>
                <w:szCs w:val="20"/>
              </w:rPr>
              <w:t xml:space="preserve">Item</w:t>
            </w:r>
          </w:p>
        </w:tc>
        <w:tc>
          <w:tcPr>
            <w:tcW w:type="dxa" w:w="3000"/>
            <w:shd w:fill="1a3a5c" w:color="auto" w:val="clear"/>
          </w:tcPr>
          <w:p>
            <w:r>
              <w:rPr>
                <w:b/>
                <w:bCs/>
                <w:color w:val="FFFFFF"/>
                <w:sz w:val="20"/>
                <w:szCs w:val="20"/>
              </w:rPr>
              <w:t xml:space="preserve">Value</w:t>
            </w:r>
          </w:p>
        </w:tc>
      </w:tr>
      <w:tr>
        <w:tc>
          <w:tcPr>
            <w:tcW w:type="dxa" w:w="6500"/>
          </w:tcPr>
          <w:p>
            <w:r>
              <w:rPr>
                <w:b w:val="false"/>
                <w:bCs w:val="false"/>
                <w:sz w:val="20"/>
                <w:szCs w:val="20"/>
              </w:rPr>
              <w:t xml:space="preserve">Monthly rent</w:t>
            </w:r>
          </w:p>
        </w:tc>
        <w:tc>
          <w:tcPr>
            <w:tcW w:type="dxa" w:w="3000"/>
          </w:tcPr>
          <w:p>
            <w:r>
              <w:rPr>
                <w:b w:val="false"/>
                <w:bCs w:val="false"/>
                <w:sz w:val="20"/>
                <w:szCs w:val="20"/>
              </w:rPr>
              <w:t xml:space="preserve">$1,601 [S2]</w:t>
            </w:r>
          </w:p>
        </w:tc>
      </w:tr>
      <w:tr>
        <w:tc>
          <w:tcPr>
            <w:tcW w:type="dxa" w:w="6500"/>
          </w:tcPr>
          <w:p>
            <w:r>
              <w:rPr>
                <w:b w:val="false"/>
                <w:bCs w:val="false"/>
                <w:sz w:val="20"/>
                <w:szCs w:val="20"/>
              </w:rPr>
              <w:t xml:space="preserve">Refundable security deposit (returned at move-out, condition permitting)</w:t>
            </w:r>
          </w:p>
        </w:tc>
        <w:tc>
          <w:tcPr>
            <w:tcW w:type="dxa" w:w="3000"/>
          </w:tcPr>
          <w:p>
            <w:r>
              <w:rPr>
                <w:b w:val="false"/>
                <w:bCs w:val="false"/>
                <w:sz w:val="20"/>
                <w:szCs w:val="20"/>
              </w:rPr>
              <w:t xml:space="preserve">$1,601 — equal to 1 month's rent [MA3]</w:t>
            </w:r>
          </w:p>
        </w:tc>
      </w:tr>
      <w:tr>
        <w:tc>
          <w:tcPr>
            <w:tcW w:type="dxa" w:w="6500"/>
          </w:tcPr>
          <w:p>
            <w:r>
              <w:rPr>
                <w:b w:val="false"/>
                <w:bCs w:val="false"/>
                <w:sz w:val="20"/>
                <w:szCs w:val="20"/>
              </w:rPr>
              <w:t xml:space="preserve">Lease term</w:t>
            </w:r>
          </w:p>
        </w:tc>
        <w:tc>
          <w:tcPr>
            <w:tcW w:type="dxa" w:w="3000"/>
          </w:tcPr>
          <w:p>
            <w:r>
              <w:rPr>
                <w:b w:val="false"/>
                <w:bCs w:val="false"/>
                <w:sz w:val="20"/>
                <w:szCs w:val="20"/>
              </w:rPr>
              <w:t xml:space="preserve">12 months [S4]</w:t>
            </w:r>
          </w:p>
        </w:tc>
      </w:tr>
      <w:tr>
        <w:tc>
          <w:tcPr>
            <w:tcW w:type="dxa" w:w="6500"/>
          </w:tcPr>
          <w:p>
            <w:r>
              <w:rPr>
                <w:b w:val="false"/>
                <w:bCs w:val="false"/>
                <w:sz w:val="20"/>
                <w:szCs w:val="20"/>
              </w:rPr>
              <w:t xml:space="preserve">Early-termination clause</w:t>
            </w:r>
          </w:p>
        </w:tc>
        <w:tc>
          <w:tcPr>
            <w:tcW w:type="dxa" w:w="3000"/>
          </w:tcPr>
          <w:p>
            <w:r>
              <w:rPr>
                <w:b w:val="false"/>
                <w:bCs w:val="false"/>
                <w:sz w:val="20"/>
                <w:szCs w:val="20"/>
              </w:rPr>
              <w:t xml:space="preserve">$1,601 — stated buyout equal to 1 month's rent [MA4]</w:t>
            </w:r>
          </w:p>
        </w:tc>
      </w:tr>
    </w:tbl>
    <w:p>
      <w:pPr>
        <w:spacing w:after="160"/>
      </w:pPr>
      <w:r>
        <w:rPr>
          <w:i/>
          <w:iCs/>
          <w:color w:val="5b6472"/>
          <w:sz w:val="18"/>
          <w:szCs w:val="18"/>
        </w:rPr>
        <w:t xml:space="preserve">Referenced from Background and Dilemma; forces D1–D4.</w:t>
      </w:r>
    </w:p>
    <w:p>
      <w:pPr>
        <w:pStyle w:val="Heading1"/>
        <w:spacing w:after="120" w:before="300"/>
      </w:pPr>
      <w:r>
        <w:t xml:space="preserve">Appendix C — Maya's Timeline and Budget Constraints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1a3a5c" w:color="auto" w:val="clear"/>
          </w:tcPr>
          <w:p>
            <w:r>
              <w:rPr>
                <w:b/>
                <w:bCs/>
                <w:color w:val="FFFFFF"/>
                <w:sz w:val="20"/>
                <w:szCs w:val="20"/>
              </w:rPr>
              <w:t xml:space="preserve">Item</w:t>
            </w:r>
          </w:p>
        </w:tc>
        <w:tc>
          <w:tcPr>
            <w:tcW w:type="dxa" w:w="3000"/>
            <w:shd w:fill="1a3a5c" w:color="auto" w:val="clear"/>
          </w:tcPr>
          <w:p>
            <w:r>
              <w:rPr>
                <w:b/>
                <w:bCs/>
                <w:color w:val="FFFFFF"/>
                <w:sz w:val="20"/>
                <w:szCs w:val="20"/>
              </w:rPr>
              <w:t xml:space="preserve">Value</w:t>
            </w:r>
          </w:p>
        </w:tc>
      </w:tr>
      <w:tr>
        <w:tc>
          <w:tcPr>
            <w:tcW w:type="dxa" w:w="6500"/>
          </w:tcPr>
          <w:p>
            <w:r>
              <w:rPr>
                <w:b w:val="false"/>
                <w:bCs w:val="false"/>
                <w:sz w:val="20"/>
                <w:szCs w:val="20"/>
              </w:rPr>
              <w:t xml:space="preserve">Contract's stated firm term (months), before any extension decision</w:t>
            </w:r>
          </w:p>
        </w:tc>
        <w:tc>
          <w:tcPr>
            <w:tcW w:type="dxa" w:w="3000"/>
          </w:tcPr>
          <w:p>
            <w:r>
              <w:rPr>
                <w:b w:val="false"/>
                <w:bCs w:val="false"/>
                <w:sz w:val="20"/>
                <w:szCs w:val="20"/>
              </w:rPr>
              <w:t xml:space="preserve">6 months [MA5]</w:t>
            </w:r>
          </w:p>
        </w:tc>
      </w:tr>
      <w:tr>
        <w:tc>
          <w:tcPr>
            <w:tcW w:type="dxa" w:w="6500"/>
          </w:tcPr>
          <w:p>
            <w:r>
              <w:rPr>
                <w:b w:val="false"/>
                <w:bCs w:val="false"/>
                <w:sz w:val="20"/>
                <w:szCs w:val="20"/>
              </w:rPr>
              <w:t xml:space="preserve">Month at which an early move would happen if the contract is not extended</w:t>
            </w:r>
          </w:p>
        </w:tc>
        <w:tc>
          <w:tcPr>
            <w:tcW w:type="dxa" w:w="3000"/>
          </w:tcPr>
          <w:p>
            <w:r>
              <w:rPr>
                <w:b w:val="false"/>
                <w:bCs w:val="false"/>
                <w:sz w:val="20"/>
                <w:szCs w:val="20"/>
              </w:rPr>
              <w:t xml:space="preserve">Month 6 [MA6]</w:t>
            </w:r>
          </w:p>
        </w:tc>
      </w:tr>
      <w:tr>
        <w:tc>
          <w:tcPr>
            <w:tcW w:type="dxa" w:w="6500"/>
          </w:tcPr>
          <w:p>
            <w:r>
              <w:rPr>
                <w:b w:val="false"/>
                <w:bCs w:val="false"/>
                <w:sz w:val="20"/>
                <w:szCs w:val="20"/>
              </w:rPr>
              <w:t xml:space="preserve">Signing deadline (both landlords require a decision by)</w:t>
            </w:r>
          </w:p>
        </w:tc>
        <w:tc>
          <w:tcPr>
            <w:tcW w:type="dxa" w:w="3000"/>
          </w:tcPr>
          <w:p>
            <w:r>
              <w:rPr>
                <w:b w:val="false"/>
                <w:bCs w:val="false"/>
                <w:sz w:val="20"/>
                <w:szCs w:val="20"/>
              </w:rPr>
              <w:t xml:space="preserve">Today, end of business [MA7]</w:t>
            </w:r>
          </w:p>
        </w:tc>
      </w:tr>
      <w:tr>
        <w:tc>
          <w:tcPr>
            <w:tcW w:type="dxa" w:w="6500"/>
          </w:tcPr>
          <w:p>
            <w:r>
              <w:rPr>
                <w:b w:val="false"/>
                <w:bCs w:val="false"/>
                <w:sz w:val="20"/>
                <w:szCs w:val="20"/>
              </w:rPr>
              <w:t xml:space="preserve">Current sublet's move-out date</w:t>
            </w:r>
          </w:p>
        </w:tc>
        <w:tc>
          <w:tcPr>
            <w:tcW w:type="dxa" w:w="3000"/>
          </w:tcPr>
          <w:p>
            <w:r>
              <w:rPr>
                <w:b w:val="false"/>
                <w:bCs w:val="false"/>
                <w:sz w:val="20"/>
                <w:szCs w:val="20"/>
              </w:rPr>
              <w:t xml:space="preserve">3 days from today [MA8]</w:t>
            </w:r>
          </w:p>
        </w:tc>
      </w:tr>
      <w:tr>
        <w:tc>
          <w:tcPr>
            <w:tcW w:type="dxa" w:w="6500"/>
          </w:tcPr>
          <w:p>
            <w:r>
              <w:rPr>
                <w:b w:val="false"/>
                <w:bCs w:val="false"/>
                <w:sz w:val="20"/>
                <w:szCs w:val="20"/>
              </w:rPr>
              <w:t xml:space="preserve">Maya's monthly housing budget ceiling</w:t>
            </w:r>
          </w:p>
        </w:tc>
        <w:tc>
          <w:tcPr>
            <w:tcW w:type="dxa" w:w="3000"/>
          </w:tcPr>
          <w:p>
            <w:r>
              <w:rPr>
                <w:b w:val="false"/>
                <w:bCs w:val="false"/>
                <w:sz w:val="20"/>
                <w:szCs w:val="20"/>
              </w:rPr>
              <w:t xml:space="preserve">$2,450/month [MA9]</w:t>
            </w:r>
          </w:p>
        </w:tc>
      </w:tr>
      <w:tr>
        <w:tc>
          <w:tcPr>
            <w:tcW w:type="dxa" w:w="6500"/>
          </w:tcPr>
          <w:p>
            <w:r>
              <w:rPr>
                <w:b w:val="false"/>
                <w:bCs w:val="false"/>
                <w:sz w:val="20"/>
                <w:szCs w:val="20"/>
              </w:rPr>
              <w:t xml:space="preserve">If the contract extends, length of the extension</w:t>
            </w:r>
          </w:p>
        </w:tc>
        <w:tc>
          <w:tcPr>
            <w:tcW w:type="dxa" w:w="3000"/>
          </w:tcPr>
          <w:p>
            <w:r>
              <w:rPr>
                <w:b w:val="false"/>
                <w:bCs w:val="false"/>
                <w:sz w:val="20"/>
                <w:szCs w:val="20"/>
              </w:rPr>
              <w:t xml:space="preserve">Covers the remainder of whichever lease's full 12-month term Maya signs (i.e., a long extension, not a short one) [MA10]</w:t>
            </w:r>
          </w:p>
        </w:tc>
      </w:tr>
    </w:tbl>
    <w:p>
      <w:pPr>
        <w:spacing w:after="160"/>
      </w:pPr>
      <w:r>
        <w:rPr>
          <w:i/>
          <w:iCs/>
          <w:color w:val="5b6472"/>
          <w:sz w:val="18"/>
          <w:szCs w:val="18"/>
        </w:rPr>
        <w:t xml:space="preserve">Referenced from Background; forces D3's month-6 scenario and D5's recommendation.</w:t>
      </w:r>
    </w:p>
    <w:p>
      <w:pPr>
        <w:pStyle w:val="Heading1"/>
        <w:spacing w:after="120" w:before="300"/>
      </w:pPr>
      <w:r>
        <w:t xml:space="preserve">Modeling Assumptions</w:t>
      </w:r>
    </w:p>
    <w:p>
      <w:pPr>
        <w:spacing w:after="160"/>
      </w:pPr>
      <w:r>
        <w:rPr>
          <w:i/>
          <w:iCs/>
        </w:rPr>
        <w:t xml:space="preserve">These figures are not sourced to a specific real listing — The Cedarline and The Aldergate are invented for this scenario, so no real lease exists to quote directly. Each value below is a stated scenario assumption, chosen by the case author from within a real, cited market range or convention (see Appendix D for the underlying sources). A Hero may challenge any of these in discussion — that is a legitimate move.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900"/>
        <w:gridCol w:w="3200"/>
        <w:gridCol w:w="900"/>
      </w:tblGrid>
      <w:tr>
        <w:trPr>
          <w:tblHeader/>
        </w:trPr>
        <w:tc>
          <w:tcPr>
            <w:tcW w:type="dxa" w:w="900"/>
            <w:shd w:fill="1a3a5c" w:color="auto" w:val="clear"/>
          </w:tcPr>
          <w:p>
            <w:r>
              <w:rPr>
                <w:b/>
                <w:bCs/>
                <w:color w:val="FFFFFF"/>
                <w:sz w:val="20"/>
                <w:szCs w:val="20"/>
              </w:rPr>
              <w:t xml:space="preserve">#</w:t>
            </w:r>
          </w:p>
        </w:tc>
        <w:tc>
          <w:tcPr>
            <w:tcW w:type="dxa" w:w="2600"/>
            <w:shd w:fill="1a3a5c" w:color="auto" w:val="clear"/>
          </w:tcPr>
          <w:p>
            <w:r>
              <w:rPr>
                <w:b/>
                <w:bCs/>
                <w:color w:val="FFFFFF"/>
                <w:sz w:val="20"/>
                <w:szCs w:val="20"/>
              </w:rPr>
              <w:t xml:space="preserve">Assumption</w:t>
            </w:r>
          </w:p>
        </w:tc>
        <w:tc>
          <w:tcPr>
            <w:tcW w:type="dxa" w:w="1900"/>
            <w:shd w:fill="1a3a5c" w:color="auto" w:val="clear"/>
          </w:tcPr>
          <w:p>
            <w:r>
              <w:rPr>
                <w:b/>
                <w:bCs/>
                <w:color w:val="FFFFFF"/>
                <w:sz w:val="20"/>
                <w:szCs w:val="20"/>
              </w:rPr>
              <w:t xml:space="preserve">Value used</w:t>
            </w:r>
          </w:p>
        </w:tc>
        <w:tc>
          <w:tcPr>
            <w:tcW w:type="dxa" w:w="3200"/>
            <w:shd w:fill="1a3a5c" w:color="auto" w:val="clear"/>
          </w:tcPr>
          <w:p>
            <w:r>
              <w:rPr>
                <w:b/>
                <w:bCs/>
                <w:color w:val="FFFFFF"/>
                <w:sz w:val="20"/>
                <w:szCs w:val="20"/>
              </w:rPr>
              <w:t xml:space="preserve">Basis</w:t>
            </w:r>
          </w:p>
        </w:tc>
        <w:tc>
          <w:tcPr>
            <w:tcW w:type="dxa" w:w="900"/>
            <w:shd w:fill="1a3a5c" w:color="auto" w:val="clear"/>
          </w:tcPr>
          <w:p>
            <w:r>
              <w:rPr>
                <w:b/>
                <w:bCs/>
                <w:color w:val="FFFFFF"/>
                <w:sz w:val="20"/>
                <w:szCs w:val="20"/>
              </w:rPr>
              <w:t xml:space="preserve">Sensitivity</w:t>
            </w:r>
          </w:p>
        </w:tc>
      </w:tr>
      <w:tr>
        <w:tc>
          <w:tcPr>
            <w:tcW w:type="dxa" w:w="900"/>
          </w:tcPr>
          <w:p>
            <w:r>
              <w:rPr>
                <w:b w:val="false"/>
                <w:bCs w:val="false"/>
                <w:sz w:val="20"/>
                <w:szCs w:val="20"/>
              </w:rPr>
              <w:t xml:space="preserve">MA1</w:t>
            </w:r>
          </w:p>
        </w:tc>
        <w:tc>
          <w:tcPr>
            <w:tcW w:type="dxa" w:w="2600"/>
          </w:tcPr>
          <w:p>
            <w:r>
              <w:rPr>
                <w:b w:val="false"/>
                <w:bCs w:val="false"/>
                <w:sz w:val="20"/>
                <w:szCs w:val="20"/>
              </w:rPr>
              <w:t xml:space="preserve">The Cedarline's non-refundable move-in fee</w:t>
            </w:r>
          </w:p>
        </w:tc>
        <w:tc>
          <w:tcPr>
            <w:tcW w:type="dxa" w:w="1900"/>
          </w:tcPr>
          <w:p>
            <w:r>
              <w:rPr>
                <w:b w:val="false"/>
                <w:bCs w:val="false"/>
                <w:sz w:val="20"/>
                <w:szCs w:val="20"/>
              </w:rPr>
              <w:t xml:space="preserve">$434 (≈30% of monthly rent)</w:t>
            </w:r>
          </w:p>
        </w:tc>
        <w:tc>
          <w:tcPr>
            <w:tcW w:type="dxa" w:w="3200"/>
          </w:tcPr>
          <w:p>
            <w:r>
              <w:rPr>
                <w:b w:val="false"/>
                <w:bCs w:val="false"/>
                <w:sz w:val="20"/>
                <w:szCs w:val="20"/>
              </w:rPr>
              <w:t xml:space="preserve">Redfin reports typical non-refundable move-in fees at 20–50% of monthly rent [S3]. The case picks the upper-middle of that real range to embody the “large” fee the Background and Dilemma describe.</w:t>
            </w:r>
          </w:p>
        </w:tc>
        <w:tc>
          <w:tcPr>
            <w:tcW w:type="dxa" w:w="900"/>
          </w:tcPr>
          <w:p>
            <w:r>
              <w:rPr>
                <w:b w:val="false"/>
                <w:bCs w:val="false"/>
                <w:sz w:val="20"/>
                <w:szCs w:val="20"/>
              </w:rPr>
              <w:t xml:space="preserve">Amortized over 12 months (D2) this changes the effective monthly cost by only a few dollars either way — not dilemma-flipping on its own.</w:t>
            </w:r>
          </w:p>
        </w:tc>
      </w:tr>
      <w:tr>
        <w:tc>
          <w:tcPr>
            <w:tcW w:type="dxa" w:w="900"/>
          </w:tcPr>
          <w:p>
            <w:r>
              <w:rPr>
                <w:b w:val="false"/>
                <w:bCs w:val="false"/>
                <w:sz w:val="20"/>
                <w:szCs w:val="20"/>
              </w:rPr>
              <w:t xml:space="preserve">MA2</w:t>
            </w:r>
          </w:p>
        </w:tc>
        <w:tc>
          <w:tcPr>
            <w:tcW w:type="dxa" w:w="2600"/>
          </w:tcPr>
          <w:p>
            <w:r>
              <w:rPr>
                <w:b w:val="false"/>
                <w:bCs w:val="false"/>
                <w:sz w:val="20"/>
                <w:szCs w:val="20"/>
              </w:rPr>
              <w:t xml:space="preserve">The Cedarline's early-termination penalty</w:t>
            </w:r>
          </w:p>
        </w:tc>
        <w:tc>
          <w:tcPr>
            <w:tcW w:type="dxa" w:w="1900"/>
          </w:tcPr>
          <w:p>
            <w:r>
              <w:rPr>
                <w:b w:val="false"/>
                <w:bCs w:val="false"/>
                <w:sz w:val="20"/>
                <w:szCs w:val="20"/>
              </w:rPr>
              <w:t xml:space="preserve">$5,065 (flat fee = 3.5 months' rent)</w:t>
            </w:r>
          </w:p>
        </w:tc>
        <w:tc>
          <w:tcPr>
            <w:tcW w:type="dxa" w:w="3200"/>
          </w:tcPr>
          <w:p>
            <w:r>
              <w:rPr>
                <w:b w:val="false"/>
                <w:bCs w:val="false"/>
                <w:sz w:val="20"/>
                <w:szCs w:val="20"/>
              </w:rPr>
              <w:t xml:space="preserve">LeaseRunner's general lease-termination-fee explainer reports fees typically 1-2 months' rent, and can reach 3-4 months in tight markets or when several months remain on the lease [S8]; Landing's renter guide independently reports a 2-4 months' rent typical range [S7]. The case picks 3.5 months' rent, the middle of the higher sub-range both sources give.</w:t>
            </w:r>
          </w:p>
        </w:tc>
        <w:tc>
          <w:tcPr>
            <w:tcW w:type="dxa" w:w="900"/>
          </w:tcPr>
          <w:p>
            <w:r>
              <w:rPr>
                <w:b w:val="false"/>
                <w:bCs w:val="false"/>
                <w:sz w:val="20"/>
                <w:szCs w:val="20"/>
              </w:rPr>
              <w:t xml:space="preserve">This is the single most dilemma-relevant assumption in the case. A Hero who argues for a milder penalty is making a legitimate, discussable move.</w:t>
            </w:r>
          </w:p>
        </w:tc>
      </w:tr>
      <w:tr>
        <w:tc>
          <w:tcPr>
            <w:tcW w:type="dxa" w:w="900"/>
          </w:tcPr>
          <w:p>
            <w:r>
              <w:rPr>
                <w:b w:val="false"/>
                <w:bCs w:val="false"/>
                <w:sz w:val="20"/>
                <w:szCs w:val="20"/>
              </w:rPr>
              <w:t xml:space="preserve">MA3</w:t>
            </w:r>
          </w:p>
        </w:tc>
        <w:tc>
          <w:tcPr>
            <w:tcW w:type="dxa" w:w="2600"/>
          </w:tcPr>
          <w:p>
            <w:r>
              <w:rPr>
                <w:b w:val="false"/>
                <w:bCs w:val="false"/>
                <w:sz w:val="20"/>
                <w:szCs w:val="20"/>
              </w:rPr>
              <w:t xml:space="preserve">The Aldergate's refundable security deposit</w:t>
            </w:r>
          </w:p>
        </w:tc>
        <w:tc>
          <w:tcPr>
            <w:tcW w:type="dxa" w:w="1900"/>
          </w:tcPr>
          <w:p>
            <w:r>
              <w:rPr>
                <w:b w:val="false"/>
                <w:bCs w:val="false"/>
                <w:sz w:val="20"/>
                <w:szCs w:val="20"/>
              </w:rPr>
              <w:t xml:space="preserve">$1,601 (= 1 month's rent)</w:t>
            </w:r>
          </w:p>
        </w:tc>
        <w:tc>
          <w:tcPr>
            <w:tcW w:type="dxa" w:w="3200"/>
          </w:tcPr>
          <w:p>
            <w:r>
              <w:rPr>
                <w:b w:val="false"/>
                <w:bCs w:val="false"/>
                <w:sz w:val="20"/>
                <w:szCs w:val="20"/>
              </w:rPr>
              <w:t xml:space="preserve">A security deposit equal to one month's rent is the most common convention nationally; HUD's Public Housing Occupancy Guidebook caps PHA deposits at one month's rent [S6].</w:t>
            </w:r>
          </w:p>
        </w:tc>
        <w:tc>
          <w:tcPr>
            <w:tcW w:type="dxa" w:w="900"/>
          </w:tcPr>
          <w:p>
            <w:r>
              <w:rPr>
                <w:b w:val="false"/>
                <w:bCs w:val="false"/>
                <w:sz w:val="20"/>
                <w:szCs w:val="20"/>
              </w:rPr>
              <w:t xml:space="preserve">Low — a refundable deposit is returned at move-out and moves D2/D3's totals by a fixed, small amount.</w:t>
            </w:r>
          </w:p>
        </w:tc>
      </w:tr>
      <w:tr>
        <w:tc>
          <w:tcPr>
            <w:tcW w:type="dxa" w:w="900"/>
          </w:tcPr>
          <w:p>
            <w:r>
              <w:rPr>
                <w:b w:val="false"/>
                <w:bCs w:val="false"/>
                <w:sz w:val="20"/>
                <w:szCs w:val="20"/>
              </w:rPr>
              <w:t xml:space="preserve">MA4</w:t>
            </w:r>
          </w:p>
        </w:tc>
        <w:tc>
          <w:tcPr>
            <w:tcW w:type="dxa" w:w="2600"/>
          </w:tcPr>
          <w:p>
            <w:r>
              <w:rPr>
                <w:b w:val="false"/>
                <w:bCs w:val="false"/>
                <w:sz w:val="20"/>
                <w:szCs w:val="20"/>
              </w:rPr>
              <w:t xml:space="preserve">The Aldergate's early-termination buyout</w:t>
            </w:r>
          </w:p>
        </w:tc>
        <w:tc>
          <w:tcPr>
            <w:tcW w:type="dxa" w:w="1900"/>
          </w:tcPr>
          <w:p>
            <w:r>
              <w:rPr>
                <w:b w:val="false"/>
                <w:bCs w:val="false"/>
                <w:sz w:val="20"/>
                <w:szCs w:val="20"/>
              </w:rPr>
              <w:t xml:space="preserve">$1,601 (= 1 month's rent)</w:t>
            </w:r>
          </w:p>
        </w:tc>
        <w:tc>
          <w:tcPr>
            <w:tcW w:type="dxa" w:w="3200"/>
          </w:tcPr>
          <w:p>
            <w:r>
              <w:rPr>
                <w:b w:val="false"/>
                <w:bCs w:val="false"/>
                <w:sz w:val="20"/>
                <w:szCs w:val="20"/>
              </w:rPr>
              <w:t xml:space="preserve">LeaseRunner's cited real range for termination buyouts is 1–2 months' rent [S5]; the case states the Aldergate's clause at the bottom (most tenant-favorable) end.</w:t>
            </w:r>
          </w:p>
        </w:tc>
        <w:tc>
          <w:tcPr>
            <w:tcW w:type="dxa" w:w="900"/>
          </w:tcPr>
          <w:p>
            <w:r>
              <w:rPr>
                <w:b w:val="false"/>
                <w:bCs w:val="false"/>
                <w:sz w:val="20"/>
                <w:szCs w:val="20"/>
              </w:rPr>
              <w:t xml:space="preserve">Moderate — keeps The Aldergate's break-at-month-6 cost bounded and predictable.</w:t>
            </w:r>
          </w:p>
        </w:tc>
      </w:tr>
      <w:tr>
        <w:tc>
          <w:tcPr>
            <w:tcW w:type="dxa" w:w="900"/>
          </w:tcPr>
          <w:p>
            <w:r>
              <w:rPr>
                <w:b w:val="false"/>
                <w:bCs w:val="false"/>
                <w:sz w:val="20"/>
                <w:szCs w:val="20"/>
              </w:rPr>
              <w:t xml:space="preserve">MA5</w:t>
            </w:r>
          </w:p>
        </w:tc>
        <w:tc>
          <w:tcPr>
            <w:tcW w:type="dxa" w:w="2600"/>
          </w:tcPr>
          <w:p>
            <w:r>
              <w:rPr>
                <w:b w:val="false"/>
                <w:bCs w:val="false"/>
                <w:sz w:val="20"/>
                <w:szCs w:val="20"/>
              </w:rPr>
              <w:t xml:space="preserve">Maya's contract's stated firm term</w:t>
            </w:r>
          </w:p>
        </w:tc>
        <w:tc>
          <w:tcPr>
            <w:tcW w:type="dxa" w:w="1900"/>
          </w:tcPr>
          <w:p>
            <w:r>
              <w:rPr>
                <w:b w:val="false"/>
                <w:bCs w:val="false"/>
                <w:sz w:val="20"/>
                <w:szCs w:val="20"/>
              </w:rPr>
              <w:t xml:space="preserve">6 months</w:t>
            </w:r>
          </w:p>
        </w:tc>
        <w:tc>
          <w:tcPr>
            <w:tcW w:type="dxa" w:w="3200"/>
          </w:tcPr>
          <w:p>
            <w:r>
              <w:rPr>
                <w:b w:val="false"/>
                <w:bCs w:val="false"/>
                <w:sz w:val="20"/>
                <w:szCs w:val="20"/>
              </w:rPr>
              <w:t xml:space="preserve">Fixed-term QA/contract-testing engagements commonly run in 3, 6, or 12-month increments; 6 months is a plausible mid-length engagement.</w:t>
            </w:r>
          </w:p>
        </w:tc>
        <w:tc>
          <w:tcPr>
            <w:tcW w:type="dxa" w:w="900"/>
          </w:tcPr>
          <w:p>
            <w:r>
              <w:rPr>
                <w:b w:val="false"/>
                <w:bCs w:val="false"/>
                <w:sz w:val="20"/>
                <w:szCs w:val="20"/>
              </w:rPr>
              <w:t xml:space="preserve">Sets up MA6; lengthening toward 12 months removes the break-early scenario.</w:t>
            </w:r>
          </w:p>
        </w:tc>
      </w:tr>
      <w:tr>
        <w:tc>
          <w:tcPr>
            <w:tcW w:type="dxa" w:w="900"/>
          </w:tcPr>
          <w:p>
            <w:r>
              <w:rPr>
                <w:b w:val="false"/>
                <w:bCs w:val="false"/>
                <w:sz w:val="20"/>
                <w:szCs w:val="20"/>
              </w:rPr>
              <w:t xml:space="preserve">MA6</w:t>
            </w:r>
          </w:p>
        </w:tc>
        <w:tc>
          <w:tcPr>
            <w:tcW w:type="dxa" w:w="2600"/>
          </w:tcPr>
          <w:p>
            <w:r>
              <w:rPr>
                <w:b w:val="false"/>
                <w:bCs w:val="false"/>
                <w:sz w:val="20"/>
                <w:szCs w:val="20"/>
              </w:rPr>
              <w:t xml:space="preserve">Month at which an early move would happen if the contract is not extended</w:t>
            </w:r>
          </w:p>
        </w:tc>
        <w:tc>
          <w:tcPr>
            <w:tcW w:type="dxa" w:w="1900"/>
          </w:tcPr>
          <w:p>
            <w:r>
              <w:rPr>
                <w:b w:val="false"/>
                <w:bCs w:val="false"/>
                <w:sz w:val="20"/>
                <w:szCs w:val="20"/>
              </w:rPr>
              <w:t xml:space="preserve">Month 6</w:t>
            </w:r>
          </w:p>
        </w:tc>
        <w:tc>
          <w:tcPr>
            <w:tcW w:type="dxa" w:w="3200"/>
          </w:tcPr>
          <w:p>
            <w:r>
              <w:rPr>
                <w:b w:val="false"/>
                <w:bCs w:val="false"/>
                <w:sz w:val="20"/>
                <w:szCs w:val="20"/>
              </w:rPr>
              <w:t xml:space="preserve">Set equal to MA5's firm contract term.</w:t>
            </w:r>
          </w:p>
        </w:tc>
        <w:tc>
          <w:tcPr>
            <w:tcW w:type="dxa" w:w="900"/>
          </w:tcPr>
          <w:p>
            <w:r>
              <w:rPr>
                <w:b w:val="false"/>
                <w:bCs w:val="false"/>
                <w:sz w:val="20"/>
                <w:szCs w:val="20"/>
              </w:rPr>
              <w:t xml:space="preserve">Directly defines D3's amortization window.</w:t>
            </w:r>
          </w:p>
        </w:tc>
      </w:tr>
      <w:tr>
        <w:tc>
          <w:tcPr>
            <w:tcW w:type="dxa" w:w="900"/>
          </w:tcPr>
          <w:p>
            <w:r>
              <w:rPr>
                <w:b w:val="false"/>
                <w:bCs w:val="false"/>
                <w:sz w:val="20"/>
                <w:szCs w:val="20"/>
              </w:rPr>
              <w:t xml:space="preserve">MA7</w:t>
            </w:r>
          </w:p>
        </w:tc>
        <w:tc>
          <w:tcPr>
            <w:tcW w:type="dxa" w:w="2600"/>
          </w:tcPr>
          <w:p>
            <w:r>
              <w:rPr>
                <w:b w:val="false"/>
                <w:bCs w:val="false"/>
                <w:sz w:val="20"/>
                <w:szCs w:val="20"/>
              </w:rPr>
              <w:t xml:space="preserve">Signing deadline</w:t>
            </w:r>
          </w:p>
        </w:tc>
        <w:tc>
          <w:tcPr>
            <w:tcW w:type="dxa" w:w="1900"/>
          </w:tcPr>
          <w:p>
            <w:r>
              <w:rPr>
                <w:b w:val="false"/>
                <w:bCs w:val="false"/>
                <w:sz w:val="20"/>
                <w:szCs w:val="20"/>
              </w:rPr>
              <w:t xml:space="preserve">Today, end of business</w:t>
            </w:r>
          </w:p>
        </w:tc>
        <w:tc>
          <w:tcPr>
            <w:tcW w:type="dxa" w:w="3200"/>
          </w:tcPr>
          <w:p>
            <w:r>
              <w:rPr>
                <w:b w:val="false"/>
                <w:bCs w:val="false"/>
                <w:sz w:val="20"/>
                <w:szCs w:val="20"/>
              </w:rPr>
              <w:t xml:space="preserve">Matches the Background's stated urgency.</w:t>
            </w:r>
          </w:p>
        </w:tc>
        <w:tc>
          <w:tcPr>
            <w:tcW w:type="dxa" w:w="900"/>
          </w:tcPr>
          <w:p>
            <w:r>
              <w:rPr>
                <w:b w:val="false"/>
                <w:bCs w:val="false"/>
                <w:sz w:val="20"/>
                <w:szCs w:val="20"/>
              </w:rPr>
              <w:t xml:space="preserve">None — narrative only.</w:t>
            </w:r>
          </w:p>
        </w:tc>
      </w:tr>
      <w:tr>
        <w:tc>
          <w:tcPr>
            <w:tcW w:type="dxa" w:w="900"/>
          </w:tcPr>
          <w:p>
            <w:r>
              <w:rPr>
                <w:b w:val="false"/>
                <w:bCs w:val="false"/>
                <w:sz w:val="20"/>
                <w:szCs w:val="20"/>
              </w:rPr>
              <w:t xml:space="preserve">MA8</w:t>
            </w:r>
          </w:p>
        </w:tc>
        <w:tc>
          <w:tcPr>
            <w:tcW w:type="dxa" w:w="2600"/>
          </w:tcPr>
          <w:p>
            <w:r>
              <w:rPr>
                <w:b w:val="false"/>
                <w:bCs w:val="false"/>
                <w:sz w:val="20"/>
                <w:szCs w:val="20"/>
              </w:rPr>
              <w:t xml:space="preserve">Current sublet's move-out date</w:t>
            </w:r>
          </w:p>
        </w:tc>
        <w:tc>
          <w:tcPr>
            <w:tcW w:type="dxa" w:w="1900"/>
          </w:tcPr>
          <w:p>
            <w:r>
              <w:rPr>
                <w:b w:val="false"/>
                <w:bCs w:val="false"/>
                <w:sz w:val="20"/>
                <w:szCs w:val="20"/>
              </w:rPr>
              <w:t xml:space="preserve">3 days from today</w:t>
            </w:r>
          </w:p>
        </w:tc>
        <w:tc>
          <w:tcPr>
            <w:tcW w:type="dxa" w:w="3200"/>
          </w:tcPr>
          <w:p>
            <w:r>
              <w:rPr>
                <w:b w:val="false"/>
                <w:bCs w:val="false"/>
                <w:sz w:val="20"/>
                <w:szCs w:val="20"/>
              </w:rPr>
              <w:t xml:space="preserve">Matches the Background's description.</w:t>
            </w:r>
          </w:p>
        </w:tc>
        <w:tc>
          <w:tcPr>
            <w:tcW w:type="dxa" w:w="900"/>
          </w:tcPr>
          <w:p>
            <w:r>
              <w:rPr>
                <w:b w:val="false"/>
                <w:bCs w:val="false"/>
                <w:sz w:val="20"/>
                <w:szCs w:val="20"/>
              </w:rPr>
              <w:t xml:space="preserve">None — narrative only.</w:t>
            </w:r>
          </w:p>
        </w:tc>
      </w:tr>
      <w:tr>
        <w:tc>
          <w:tcPr>
            <w:tcW w:type="dxa" w:w="900"/>
          </w:tcPr>
          <w:p>
            <w:r>
              <w:rPr>
                <w:b w:val="false"/>
                <w:bCs w:val="false"/>
                <w:sz w:val="20"/>
                <w:szCs w:val="20"/>
              </w:rPr>
              <w:t xml:space="preserve">MA9</w:t>
            </w:r>
          </w:p>
        </w:tc>
        <w:tc>
          <w:tcPr>
            <w:tcW w:type="dxa" w:w="2600"/>
          </w:tcPr>
          <w:p>
            <w:r>
              <w:rPr>
                <w:b w:val="false"/>
                <w:bCs w:val="false"/>
                <w:sz w:val="20"/>
                <w:szCs w:val="20"/>
              </w:rPr>
              <w:t xml:space="preserve">Maya's monthly housing budget ceiling</w:t>
            </w:r>
          </w:p>
        </w:tc>
        <w:tc>
          <w:tcPr>
            <w:tcW w:type="dxa" w:w="1900"/>
          </w:tcPr>
          <w:p>
            <w:r>
              <w:rPr>
                <w:b w:val="false"/>
                <w:bCs w:val="false"/>
                <w:sz w:val="20"/>
                <w:szCs w:val="20"/>
              </w:rPr>
              <w:t xml:space="preserve">$2,450/month</w:t>
            </w:r>
          </w:p>
        </w:tc>
        <w:tc>
          <w:tcPr>
            <w:tcW w:type="dxa" w:w="3200"/>
          </w:tcPr>
          <w:p>
            <w:r>
              <w:rPr>
                <w:b w:val="false"/>
                <w:bCs w:val="false"/>
                <w:sz w:val="20"/>
                <w:szCs w:val="20"/>
              </w:rPr>
              <w:t xml:space="preserve">Set comfortably above the most expensive computed scenario so affordability isn't the deciding factor.</w:t>
            </w:r>
          </w:p>
        </w:tc>
        <w:tc>
          <w:tcPr>
            <w:tcW w:type="dxa" w:w="900"/>
          </w:tcPr>
          <w:p>
            <w:r>
              <w:rPr>
                <w:b w:val="false"/>
                <w:bCs w:val="false"/>
                <w:sz w:val="20"/>
                <w:szCs w:val="20"/>
              </w:rPr>
              <w:t xml:space="preserve">None directly — rules out the sticker-price shortcut.</w:t>
            </w:r>
          </w:p>
        </w:tc>
      </w:tr>
      <w:tr>
        <w:tc>
          <w:tcPr>
            <w:tcW w:type="dxa" w:w="900"/>
          </w:tcPr>
          <w:p>
            <w:r>
              <w:rPr>
                <w:b w:val="false"/>
                <w:bCs w:val="false"/>
                <w:sz w:val="20"/>
                <w:szCs w:val="20"/>
              </w:rPr>
              <w:t xml:space="preserve">MA10</w:t>
            </w:r>
          </w:p>
        </w:tc>
        <w:tc>
          <w:tcPr>
            <w:tcW w:type="dxa" w:w="2600"/>
          </w:tcPr>
          <w:p>
            <w:r>
              <w:rPr>
                <w:b w:val="false"/>
                <w:bCs w:val="false"/>
                <w:sz w:val="20"/>
                <w:szCs w:val="20"/>
              </w:rPr>
              <w:t xml:space="preserve">If Maya's contract extends, the length of that extension</w:t>
            </w:r>
          </w:p>
        </w:tc>
        <w:tc>
          <w:tcPr>
            <w:tcW w:type="dxa" w:w="1900"/>
          </w:tcPr>
          <w:p>
            <w:r>
              <w:rPr>
                <w:b w:val="false"/>
                <w:bCs w:val="false"/>
                <w:sz w:val="20"/>
                <w:szCs w:val="20"/>
              </w:rPr>
              <w:t xml:space="preserve">Covers the remainder of the signed lease's full 12-month term</w:t>
            </w:r>
          </w:p>
        </w:tc>
        <w:tc>
          <w:tcPr>
            <w:tcW w:type="dxa" w:w="3200"/>
          </w:tcPr>
          <w:p>
            <w:r>
              <w:rPr>
                <w:b w:val="false"/>
                <w:bCs w:val="false"/>
                <w:sz w:val="20"/>
                <w:szCs w:val="20"/>
              </w:rPr>
              <w:t xml:space="preserve">States explicitly what the Background's binary framing implies.</w:t>
            </w:r>
          </w:p>
        </w:tc>
        <w:tc>
          <w:tcPr>
            <w:tcW w:type="dxa" w:w="900"/>
          </w:tcPr>
          <w:p>
            <w:r>
              <w:rPr>
                <w:b w:val="false"/>
                <w:bCs w:val="false"/>
                <w:sz w:val="20"/>
                <w:szCs w:val="20"/>
              </w:rPr>
              <w:t xml:space="preserve">None directly — a scoping convention.</w:t>
            </w:r>
          </w:p>
        </w:tc>
      </w:tr>
    </w:tbl>
    <w:p>
      <w:pPr>
        <w:pStyle w:val="Heading1"/>
        <w:spacing w:after="120" w:before="300"/>
      </w:pPr>
      <w:r>
        <w:t xml:space="preserve">Appendix D — Sources</w:t>
      </w:r>
    </w:p>
    <w:p>
      <w:pPr>
        <w:spacing w:after="160"/>
      </w:pPr>
      <w:r>
        <w:t xml:space="preserve">All dollar figures in Appendices A and B are either (a) real, dated market data cited below, or (b) a stated Modeling Assumption (see above) chosen from within a real, cited range or convention. The Aldergate and The Cedarline are invented for this scenario; the market data below establishes what a real studio and a real one-bedroom rent for, and what real leases' fees, deposits, and termination terms typically look like, in a real US mid-size city (Boise, ID).</w:t>
      </w:r>
    </w:p>
    <w:p>
      <w:pPr>
        <w:spacing w:after="160"/>
      </w:pPr>
      <w:r>
        <w:rPr>
          <w:b/>
          <w:bCs/>
        </w:rPr>
        <w:t xml:space="preserve">[S1] </w:t>
      </w:r>
      <w:r>
        <w:t xml:space="preserve">Average studio apartment rent, Boise, ID — $1,447/month. RentCafe — </w:t>
      </w:r>
      <w:hyperlink w:history="1" r:id="rId2aasmktrwihpn8spldpo6">
        <w:r>
          <w:rPr>
            <w:rStyle w:val="Hyperlink"/>
          </w:rPr>
          <w:t xml:space="preserve">Average Rent in Boise, ID: Rent Prices by Neighborhood</w:t>
        </w:r>
      </w:hyperlink>
      <w:r>
        <w:t xml:space="preserve">. Updated 2026-08-31. Confidence: MEDIUM.</w:t>
      </w:r>
    </w:p>
    <w:p>
      <w:pPr>
        <w:spacing w:after="160"/>
      </w:pPr>
      <w:r>
        <w:rPr>
          <w:b/>
          <w:bCs/>
        </w:rPr>
        <w:t xml:space="preserve">[S2] </w:t>
      </w:r>
      <w:r>
        <w:t xml:space="preserve">Average one-bedroom apartment rent, Boise, ID — $1,601/month. RentCafe — </w:t>
      </w:r>
      <w:hyperlink w:history="1" r:id="rIdfjnltsvp15djwbgzic9y9">
        <w:r>
          <w:rPr>
            <w:rStyle w:val="Hyperlink"/>
          </w:rPr>
          <w:t xml:space="preserve">Average Rent in Boise, ID: Rent Prices by Neighborhood</w:t>
        </w:r>
      </w:hyperlink>
      <w:r>
        <w:t xml:space="preserve">. Updated 2026-08-31. Confidence: MEDIUM.</w:t>
      </w:r>
    </w:p>
    <w:p>
      <w:pPr>
        <w:spacing w:after="160"/>
      </w:pPr>
      <w:r>
        <w:rPr>
          <w:b/>
          <w:bCs/>
        </w:rPr>
        <w:t xml:space="preserve">[S3] </w:t>
      </w:r>
      <w:r>
        <w:t xml:space="preserve">Typical non-refundable apartment move-in fee — 20–50% of monthly rent. Redfin — </w:t>
      </w:r>
      <w:hyperlink w:history="1" r:id="rIdgpb-f8rwjdmmw-5algx2g">
        <w:r>
          <w:rPr>
            <w:rStyle w:val="Hyperlink"/>
          </w:rPr>
          <w:t xml:space="preserve">Everything Renters Need to Know About Move-In Fees</w:t>
        </w:r>
      </w:hyperlink>
      <w:r>
        <w:t xml:space="preserve">. Published 2022-08-18. Confidence: MEDIUM.</w:t>
      </w:r>
    </w:p>
    <w:p>
      <w:pPr>
        <w:spacing w:after="160"/>
      </w:pPr>
      <w:r>
        <w:rPr>
          <w:b/>
          <w:bCs/>
        </w:rPr>
        <w:t xml:space="preserve">[S4] </w:t>
      </w:r>
      <w:r>
        <w:t xml:space="preserve">Share of US rental leases with a 12-month term — 59.6% of leases. U.S. Bureau of Labor Statistics — </w:t>
      </w:r>
      <w:hyperlink w:history="1" r:id="rId6kc5fbfc6-qwzmy8_c8xd">
        <w:r>
          <w:rPr>
            <w:rStyle w:val="Hyperlink"/>
          </w:rPr>
          <w:t xml:space="preserve">Housing Leases in the U.S. Rental Market: Spotlight on Statistics</w:t>
        </w:r>
      </w:hyperlink>
      <w:r>
        <w:t xml:space="preserve">. Published 2022-09. Confidence: HIGH.</w:t>
      </w:r>
    </w:p>
    <w:p>
      <w:pPr>
        <w:spacing w:after="160"/>
      </w:pPr>
      <w:r>
        <w:rPr>
          <w:b/>
          <w:bCs/>
        </w:rPr>
        <w:t xml:space="preserve">[S5] </w:t>
      </w:r>
      <w:r>
        <w:t xml:space="preserve">Typical early lease-termination fee / buyout clause — 1–2 months' rent. LeaseRunner — </w:t>
      </w:r>
      <w:hyperlink w:history="1" r:id="rIdbctyl7zrqu2pc10ztyot-">
        <w:r>
          <w:rPr>
            <w:rStyle w:val="Hyperlink"/>
          </w:rPr>
          <w:t xml:space="preserve">Penalties for Breaking a Lease: Check Costs &amp; Minimize Penalties</w:t>
        </w:r>
      </w:hyperlink>
      <w:r>
        <w:t xml:space="preserve">. Published 2026-05-28. Confidence: MEDIUM.</w:t>
      </w:r>
    </w:p>
    <w:p>
      <w:pPr>
        <w:spacing w:after="160"/>
      </w:pPr>
      <w:r>
        <w:rPr>
          <w:b/>
          <w:bCs/>
        </w:rPr>
        <w:t xml:space="preserve">[S6] </w:t>
      </w:r>
      <w:r>
        <w:t xml:space="preserve">Security deposit convention benchmark — capped at 1 month's rent (public housing). U.S. Dept. of Housing &amp; Urban Development — </w:t>
      </w:r>
      <w:hyperlink w:history="1" r:id="rId-dxvxyge54ckxm_7lnp98">
        <w:r>
          <w:rPr>
            <w:rStyle w:val="Hyperlink"/>
          </w:rPr>
          <w:t xml:space="preserve">Public Housing Occupancy Guidebook</w:t>
        </w:r>
      </w:hyperlink>
      <w:r>
        <w:t xml:space="preserve">, §3.3.3. Confidence: MEDIUM.</w:t>
      </w:r>
    </w:p>
    <w:p>
      <w:pPr>
        <w:spacing w:after="160"/>
      </w:pPr>
      <w:r>
        <w:rPr>
          <w:b/>
          <w:bCs/>
        </w:rPr>
        <w:t xml:space="preserve">[S7] </w:t>
      </w:r>
      <w:r>
        <w:t xml:space="preserve">Early lease-termination fee range, general — 2–4 months' rent. Landing — </w:t>
      </w:r>
      <w:hyperlink w:history="1" r:id="rIdczitq3kzescoej_lvez_d">
        <w:r>
          <w:rPr>
            <w:rStyle w:val="Hyperlink"/>
          </w:rPr>
          <w:t xml:space="preserve">How Much Does It Cost to Break a Lease?</w:t>
        </w:r>
      </w:hyperlink>
      <w:r>
        <w:t xml:space="preserve">. Updated 2025-01-31. Confidence: MEDIUM.</w:t>
      </w:r>
    </w:p>
    <w:p>
      <w:pPr>
        <w:spacing w:after="160"/>
      </w:pPr>
      <w:r>
        <w:rPr>
          <w:b/>
          <w:bCs/>
        </w:rPr>
        <w:t xml:space="preserve">[S8] </w:t>
      </w:r>
      <w:r>
        <w:t xml:space="preserve">Early lease-termination fee range, “several months remain on the lease” case — 1–2 months' rent typically, 3–4 months' rent in tight markets or with several months remaining. LeaseRunner — </w:t>
      </w:r>
      <w:hyperlink w:history="1" r:id="rIdqmwpmmnjrsxl4d964gtrm">
        <w:r>
          <w:rPr>
            <w:rStyle w:val="Hyperlink"/>
          </w:rPr>
          <w:t xml:space="preserve">Early Termination Fee: How Much It Costs &amp; When You Don't Have to Pay</w:t>
        </w:r>
      </w:hyperlink>
      <w:r>
        <w:t xml:space="preserve">. Published 2025-10-14. Confidence: MEDIUM.</w:t>
      </w:r>
    </w:p>
    <w:p>
      <w:pPr>
        <w:spacing w:after="160"/>
      </w:pPr>
      <w:r>
        <w:t xml:space="preserve">Note on S1/S2 being refreshed (2026-09-04): RentCafe's page is a live-updating market-trends dashboard, not a fixed historical snapshot. A routine data-decay check found the page had moved from $1,389/$1,536 (as of 2026-07-02) to $1,447/$1,601 (as of 2026-08-31) — this is normal drift for this kind of source, not a sign the earlier figures were wrong.</w:t>
      </w:r>
    </w:p>
    <w:p>
      <w:pPr>
        <w:spacing w:after="160"/>
      </w:pPr>
      <w:r>
        <w:rPr>
          <w:i/>
          <w:iCs/>
          <w:color w:val="5b6472"/>
          <w:sz w:val="18"/>
          <w:szCs w:val="18"/>
        </w:rPr>
        <w:t xml:space="preserve">Referenced from Background.</w:t>
      </w:r>
    </w:p>
    <w:p>
      <w:pPr>
        <w:pStyle w:val="Heading1"/>
        <w:spacing w:after="120" w:before="300"/>
      </w:pPr>
      <w:r>
        <w:t xml:space="preserve">Appendix E — “How To…” Math Questions To Research</w:t>
      </w:r>
    </w:p>
    <w:p>
      <w:pPr>
        <w:pStyle w:val="Heading2"/>
        <w:spacing w:after="100" w:before="200"/>
      </w:pPr>
      <w:r>
        <w:t xml:space="preserve">Vocabulary terms</w:t>
      </w:r>
    </w:p>
    <w:p>
      <w:pPr>
        <w:pStyle w:val="ListParagraph"/>
        <w:numPr>
          <w:ilvl w:val="0"/>
          <w:numId w:val="2"/>
        </w:numPr>
        <w:spacing w:after="80"/>
      </w:pPr>
      <w:r>
        <w:t xml:space="preserve">Percent</w:t>
      </w:r>
    </w:p>
    <w:p>
      <w:pPr>
        <w:pStyle w:val="ListParagraph"/>
        <w:numPr>
          <w:ilvl w:val="0"/>
          <w:numId w:val="2"/>
        </w:numPr>
        <w:spacing w:after="80"/>
      </w:pPr>
      <w:r>
        <w:t xml:space="preserve">Proportion</w:t>
      </w:r>
    </w:p>
    <w:p>
      <w:pPr>
        <w:pStyle w:val="ListParagraph"/>
        <w:numPr>
          <w:ilvl w:val="0"/>
          <w:numId w:val="2"/>
        </w:numPr>
        <w:spacing w:after="80"/>
      </w:pPr>
      <w:r>
        <w:t xml:space="preserve">Ratio</w:t>
      </w:r>
    </w:p>
    <w:p>
      <w:pPr>
        <w:pStyle w:val="Heading2"/>
        <w:spacing w:after="100" w:before="200"/>
      </w:pPr>
      <w:r>
        <w:t xml:space="preserve">“How to…” questions</w:t>
      </w:r>
    </w:p>
    <w:p>
      <w:pPr>
        <w:pStyle w:val="ListParagraph"/>
        <w:numPr>
          <w:ilvl w:val="0"/>
          <w:numId w:val="2"/>
        </w:numPr>
        <w:spacing w:after="80"/>
      </w:pPr>
      <w:r>
        <w:t xml:space="preserve">How to find the percent of a number</w:t>
      </w:r>
    </w:p>
    <w:p>
      <w:pPr>
        <w:pStyle w:val="ListParagraph"/>
        <w:numPr>
          <w:ilvl w:val="0"/>
          <w:numId w:val="2"/>
        </w:numPr>
        <w:spacing w:after="80"/>
      </w:pPr>
      <w:r>
        <w:t xml:space="preserve">How to find a whole given the percent and the part of the whole</w:t>
      </w:r>
    </w:p>
    <w:p>
      <w:pPr>
        <w:pStyle w:val="ListParagraph"/>
        <w:numPr>
          <w:ilvl w:val="0"/>
          <w:numId w:val="2"/>
        </w:numPr>
        <w:spacing w:after="80"/>
      </w:pPr>
      <w:r>
        <w:t xml:space="preserve">How to add decimal numbers</w:t>
      </w:r>
    </w:p>
    <w:p>
      <w:pPr>
        <w:pStyle w:val="ListParagraph"/>
        <w:numPr>
          <w:ilvl w:val="0"/>
          <w:numId w:val="2"/>
        </w:numPr>
        <w:spacing w:after="80"/>
      </w:pPr>
      <w:r>
        <w:t xml:space="preserve">How to divide decimal numbers</w:t>
      </w:r>
    </w:p>
    <w:p>
      <w:pPr>
        <w:pStyle w:val="ListParagraph"/>
        <w:numPr>
          <w:ilvl w:val="0"/>
          <w:numId w:val="2"/>
        </w:numPr>
        <w:spacing w:after="80"/>
      </w:pPr>
      <w:r>
        <w:t xml:space="preserve">How to compare two or more values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aasmktrwihpn8spldpo6" Type="http://schemas.openxmlformats.org/officeDocument/2006/relationships/hyperlink" Target="https://www.rentcafe.com/average-rent-market-trends/us/id/ada-county/boise-city/" TargetMode="External"/><Relationship Id="rIdfjnltsvp15djwbgzic9y9" Type="http://schemas.openxmlformats.org/officeDocument/2006/relationships/hyperlink" Target="https://www.rentcafe.com/average-rent-market-trends/us/id/ada-county/boise-city/" TargetMode="External"/><Relationship Id="rIdgpb-f8rwjdmmw-5algx2g" Type="http://schemas.openxmlformats.org/officeDocument/2006/relationships/hyperlink" Target="https://www.redfin.com/blog/renter-move-in-fees/" TargetMode="External"/><Relationship Id="rId6kc5fbfc6-qwzmy8_c8xd" Type="http://schemas.openxmlformats.org/officeDocument/2006/relationships/hyperlink" Target="https://www.bls.gov/spotlight/2022/housing-leases-in-the-u-s-rental-market/home.htm" TargetMode="External"/><Relationship Id="rIdbctyl7zrqu2pc10ztyot-" Type="http://schemas.openxmlformats.org/officeDocument/2006/relationships/hyperlink" Target="https://www.leaserunner.com/blog/penalties-for-breaking-a-lease" TargetMode="External"/><Relationship Id="rId-dxvxyge54ckxm_7lnp98" Type="http://schemas.openxmlformats.org/officeDocument/2006/relationships/hyperlink" Target="https://www.hud.gov/sites/dfiles/PIH/documents/PHOG_LeaseRequirements.pdf" TargetMode="External"/><Relationship Id="rIdczitq3kzescoej_lvez_d" Type="http://schemas.openxmlformats.org/officeDocument/2006/relationships/hyperlink" Target="https://www.hellolanding.com/blog/how-much-does-it-cost-to-break-a-lease/" TargetMode="External"/><Relationship Id="rIdqmwpmmnjrsxl4d964gtrm" Type="http://schemas.openxmlformats.org/officeDocument/2006/relationships/hyperlink" Target="https://www.leaserunner.com/blog/early-termination-fe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2026-09-05T22:43:14.439Z</dcterms:created>
  <dcterms:modified xsi:type="dcterms:W3CDTF">2026-09-05T22:43:14.440Z</dcterms:modified>
</cp:coreProperties>
</file>

<file path=docProps/custom.xml><?xml version="1.0" encoding="utf-8"?>
<Properties xmlns="http://schemas.openxmlformats.org/officeDocument/2006/custom-properties" xmlns:vt="http://schemas.openxmlformats.org/officeDocument/2006/docPropsVTypes"/>
</file>