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Facilitator Guide: The Lease Break</w:t>
      </w:r>
    </w:p>
    <w:p>
      <w:pPr>
        <w:spacing w:after="300"/>
      </w:pPr>
      <w:r>
        <w:rPr>
          <w:b/>
          <w:bCs/>
          <w:color w:val="5b6472"/>
          <w:sz w:val="18"/>
          <w:szCs w:val="18"/>
        </w:rPr>
        <w:t xml:space="preserve">MS | Math | Case Study | 2026-27 | Adventure — FACILITATOR ONLY, never distribute to students</w:t>
      </w:r>
    </w:p>
    <w:p>
      <w:pPr>
        <w:pBdr>
          <w:bottom w:val="single" w:color="dfe4ea" w:sz="6" w:space="1"/>
        </w:pBd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7edcf" w:color="auto" w:val="clear"/>
          </w:tcPr>
          <w:p>
            <w:pPr>
              <w:spacing w:after="160"/>
            </w:pPr>
            <w:r>
              <w:rPr>
                <w:b/>
                <w:bCs/>
              </w:rPr>
              <w:t xml:space="preserve">Sensitivity note (SPEC §6): this case touches ordinary personal-financial stress (a renter with a contract-dependent income deciding on a legal and financial commitment under a same-day deadline). Mild weight, not a full SPEC §6 case — a one-line acknowledgment in the discussion opener ("this is a real decision a lot of renters face") is sufficient.</w:t>
            </w:r>
          </w:p>
        </w:tc>
      </w:tr>
    </w:tbl>
    <w:p>
      <w:pPr>
        <w:pStyle w:val="Heading1"/>
        <w:spacing w:after="120" w:before="300"/>
      </w:pPr>
      <w:r>
        <w:t xml:space="preserve">Case snapshot</w:t>
      </w:r>
    </w:p>
    <w:p>
      <w:pPr>
        <w:spacing w:after="160"/>
      </w:pPr>
      <w:r>
        <w:t xml:space="preserve">Case: The Lease Break  ·  Tier: T2 (MS-core)  ·  Studio: Adventure</w:t>
      </w:r>
    </w:p>
    <w:p>
      <w:pPr>
        <w:spacing w:after="160"/>
      </w:pPr>
      <w:r>
        <w:t xml:space="preserve">Standards: Percent, How to find the percent of a number, How to find a whole given the percent and the part of the whole, How to add decimal numbers, How to divide decimal numbers, Proportion, Ratio, How to compare two or more values.</w:t>
      </w:r>
    </w:p>
    <w:p>
      <w:pPr>
        <w:pStyle w:val="Heading1"/>
        <w:spacing w:after="120" w:before="300"/>
      </w:pPr>
      <w:r>
        <w:t xml:space="preserve">The margin</w:t>
      </w:r>
    </w:p>
    <w:p>
      <w:pPr>
        <w:spacing w:after="160"/>
      </w:pPr>
      <w:r>
        <w:t xml:space="preserve">This case has two scenario margins, since Deliverables D2 and D3 are designed to favor different options: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300"/>
        <w:gridCol w:w="1200"/>
      </w:tblGrid>
      <w:tr>
        <w:trPr>
          <w:tblHeader/>
        </w:trPr>
        <w:tc>
          <w:tcPr>
            <w:tcW w:type="dxa" w:w="2600"/>
            <w:shd w:fill="1a3a5c" w:color="auto" w:val="clear"/>
          </w:tcPr>
          <w:p>
            <w:r>
              <w:rPr>
                <w:b/>
                <w:bCs/>
                <w:color w:val="FFFFFF"/>
                <w:sz w:val="20"/>
                <w:szCs w:val="20"/>
              </w:rPr>
              <w:t xml:space="preserve">Scenario</w:t>
            </w:r>
          </w:p>
        </w:tc>
        <w:tc>
          <w:tcPr>
            <w:tcW w:type="dxa" w:w="2400"/>
            <w:shd w:fill="1a3a5c" w:color="auto" w:val="clear"/>
          </w:tcPr>
          <w:p>
            <w:r>
              <w:rPr>
                <w:b/>
                <w:bCs/>
                <w:color w:val="FFFFFF"/>
                <w:sz w:val="20"/>
                <w:szCs w:val="20"/>
              </w:rPr>
              <w:t xml:space="preserve">Cedarline effective monthly cost</w:t>
            </w:r>
          </w:p>
        </w:tc>
        <w:tc>
          <w:tcPr>
            <w:tcW w:type="dxa" w:w="2400"/>
            <w:shd w:fill="1a3a5c" w:color="auto" w:val="clear"/>
          </w:tcPr>
          <w:p>
            <w:r>
              <w:rPr>
                <w:b/>
                <w:bCs/>
                <w:color w:val="FFFFFF"/>
                <w:sz w:val="20"/>
                <w:szCs w:val="20"/>
              </w:rPr>
              <w:t xml:space="preserve">Aldergate effective monthly cost</w:t>
            </w:r>
          </w:p>
        </w:tc>
        <w:tc>
          <w:tcPr>
            <w:tcW w:type="dxa" w:w="1300"/>
            <w:shd w:fill="1a3a5c" w:color="auto" w:val="clear"/>
          </w:tcPr>
          <w:p>
            <w:r>
              <w:rPr>
                <w:b/>
                <w:bCs/>
                <w:color w:val="FFFFFF"/>
                <w:sz w:val="20"/>
                <w:szCs w:val="20"/>
              </w:rPr>
              <w:t xml:space="preserve">Winner</w:t>
            </w:r>
          </w:p>
        </w:tc>
        <w:tc>
          <w:tcPr>
            <w:tcW w:type="dxa" w:w="1200"/>
            <w:shd w:fill="1a3a5c" w:color="auto" w:val="clear"/>
          </w:tcPr>
          <w:p>
            <w:r>
              <w:rPr>
                <w:b/>
                <w:bCs/>
                <w:color w:val="FFFFFF"/>
                <w:sz w:val="20"/>
                <w:szCs w:val="20"/>
              </w:rPr>
              <w:t xml:space="preserve">Margin</w:t>
            </w:r>
          </w:p>
        </w:tc>
      </w:tr>
      <w:tr>
        <w:tc>
          <w:tcPr>
            <w:tcW w:type="dxa" w:w="2600"/>
          </w:tcPr>
          <w:p>
            <w:r>
              <w:rPr>
                <w:b w:val="false"/>
                <w:bCs w:val="false"/>
                <w:sz w:val="20"/>
                <w:szCs w:val="20"/>
              </w:rPr>
              <w:t xml:space="preserve">Stay full term (D2)</w:t>
            </w:r>
          </w:p>
        </w:tc>
        <w:tc>
          <w:tcPr>
            <w:tcW w:type="dxa" w:w="2400"/>
          </w:tcPr>
          <w:p>
            <w:r>
              <w:rPr>
                <w:b w:val="false"/>
                <w:bCs w:val="false"/>
                <w:sz w:val="20"/>
                <w:szCs w:val="20"/>
              </w:rPr>
              <w:t xml:space="preserve">$1,483.17</w:t>
            </w:r>
          </w:p>
        </w:tc>
        <w:tc>
          <w:tcPr>
            <w:tcW w:type="dxa" w:w="2400"/>
          </w:tcPr>
          <w:p>
            <w:r>
              <w:rPr>
                <w:b w:val="false"/>
                <w:bCs w:val="false"/>
                <w:sz w:val="20"/>
                <w:szCs w:val="20"/>
              </w:rPr>
              <w:t xml:space="preserve">$1,734.42</w:t>
            </w:r>
          </w:p>
        </w:tc>
        <w:tc>
          <w:tcPr>
            <w:tcW w:type="dxa" w:w="1300"/>
          </w:tcPr>
          <w:p>
            <w:r>
              <w:rPr>
                <w:b w:val="false"/>
                <w:bCs w:val="false"/>
                <w:sz w:val="20"/>
                <w:szCs w:val="20"/>
              </w:rPr>
              <w:t xml:space="preserve">Cedarline</w:t>
            </w:r>
          </w:p>
        </w:tc>
        <w:tc>
          <w:tcPr>
            <w:tcW w:type="dxa" w:w="1200"/>
          </w:tcPr>
          <w:p>
            <w:r>
              <w:rPr>
                <w:b w:val="false"/>
                <w:bCs w:val="false"/>
                <w:sz w:val="20"/>
                <w:szCs w:val="20"/>
              </w:rPr>
              <w:t xml:space="preserve">16.9%</w:t>
            </w:r>
          </w:p>
        </w:tc>
      </w:tr>
      <w:tr>
        <w:tc>
          <w:tcPr>
            <w:tcW w:type="dxa" w:w="2600"/>
          </w:tcPr>
          <w:p>
            <w:r>
              <w:rPr>
                <w:b w:val="false"/>
                <w:bCs w:val="false"/>
                <w:sz w:val="20"/>
                <w:szCs w:val="20"/>
              </w:rPr>
              <w:t xml:space="preserve">Break at month 6 (D3)</w:t>
            </w:r>
          </w:p>
        </w:tc>
        <w:tc>
          <w:tcPr>
            <w:tcW w:type="dxa" w:w="2400"/>
          </w:tcPr>
          <w:p>
            <w:r>
              <w:rPr>
                <w:b w:val="false"/>
                <w:bCs w:val="false"/>
                <w:sz w:val="20"/>
                <w:szCs w:val="20"/>
              </w:rPr>
              <w:t xml:space="preserve">$2,363.50</w:t>
            </w:r>
          </w:p>
        </w:tc>
        <w:tc>
          <w:tcPr>
            <w:tcW w:type="dxa" w:w="2400"/>
          </w:tcPr>
          <w:p>
            <w:r>
              <w:rPr>
                <w:b w:val="false"/>
                <w:bCs w:val="false"/>
                <w:sz w:val="20"/>
                <w:szCs w:val="20"/>
              </w:rPr>
              <w:t xml:space="preserve">$2,134.67</w:t>
            </w:r>
          </w:p>
        </w:tc>
        <w:tc>
          <w:tcPr>
            <w:tcW w:type="dxa" w:w="1300"/>
          </w:tcPr>
          <w:p>
            <w:r>
              <w:rPr>
                <w:b w:val="false"/>
                <w:bCs w:val="false"/>
                <w:sz w:val="20"/>
                <w:szCs w:val="20"/>
              </w:rPr>
              <w:t xml:space="preserve">Aldergate</w:t>
            </w:r>
          </w:p>
        </w:tc>
        <w:tc>
          <w:tcPr>
            <w:tcW w:type="dxa" w:w="1200"/>
          </w:tcPr>
          <w:p>
            <w:r>
              <w:rPr>
                <w:b w:val="false"/>
                <w:bCs w:val="false"/>
                <w:sz w:val="20"/>
                <w:szCs w:val="20"/>
              </w:rPr>
              <w:t xml:space="preserve">10.7%</w:t>
            </w:r>
          </w:p>
        </w:tc>
      </w:tr>
    </w:tbl>
    <w:p>
      <w:pPr>
        <w:spacing w:after="160"/>
      </w:pPr>
      <w:r>
        <w:t xml:space="preserve">case.json.balance.margin_pct records 10.7% — the narrower, break-at-month-6 magnitude — as the single scalar of record, since a narrower margin is the more binding constraint against SPEC §2's ~20% cap. The wider stay-full-term margin (16.9%) is a disclosed, non-blocking GAP: that half of the discussion will lean toward Cedarline being the obvious answer, which is an acceptable asymmetry because the case's real dilemma lives in the contrast between the two scenarios' winners, not in either scenario individually being close.</w:t>
      </w:r>
    </w:p>
    <w:p>
      <w:pPr>
        <w:pStyle w:val="Heading1"/>
        <w:spacing w:after="120" w:before="300"/>
      </w:pPr>
      <w:r>
        <w:t xml:space="preserve">Argument for A — The Cedarline</w:t>
      </w:r>
    </w:p>
    <w:p>
      <w:pPr>
        <w:spacing w:after="160"/>
      </w:pPr>
      <w:r>
        <w:t xml:space="preserve">The Cedarline wins the stay-full-term scenario decisively. Stay-full-term (D2): Cedarline $1,483.17 (rent $1,447 plus the $434 move-in fee amortized over 12 months) vs. Aldergate $1,734.42 (rent $1,601 plus the $1,601 deposit amortized over 12 months) — Cedarline cheaper by 16.9%. Over a full 12-month term, The Cedarline's much lower base rent and modest move-in fee outweigh The Aldergate's smaller per-month deposit burden, because a 12-month amortization window dilutes both leases' up-front costs to only a few dollars or tens of dollars a month — the termination penalty never enters this scenario at all.</w:t>
      </w:r>
    </w:p>
    <w:p>
      <w:pPr>
        <w:pStyle w:val="Heading1"/>
        <w:spacing w:after="120" w:before="300"/>
      </w:pPr>
      <w:r>
        <w:t xml:space="preserve">Argument for B — The Aldergate</w:t>
      </w:r>
    </w:p>
    <w:p>
      <w:pPr>
        <w:spacing w:after="160"/>
      </w:pPr>
      <w:r>
        <w:t xml:space="preserve">The Aldergate wins the break-at-month-6 scenario. Break-at-month-6 (D3): Cedarline $2,363.50 (rent $1,447 plus the $434 fee and $5,065 penalty amortized over 6 months) vs. Aldergate $2,134.67 (rent $1,601 plus the $1,601 deposit and $1,601 buyout amortized over 6 months) — Aldergate cheaper by 10.7%. Halving the amortization window to 6 months roughly doubles the drag each lease's one-time costs put on the monthly figure, and The Cedarline's termination penalty is now large enough (3.5 months' rent, grounded in S7/S8's real range for a lease with several months still remaining) to outweigh its ongoing rent advantage. The Aldergate's capped, one-month buyout keeps its break-scenario total lower even though its full-term total is higher — Option B swings noticeably less between the two scenarios than Option A does, worth naming explicitly if a student raises it.</w:t>
      </w:r>
    </w:p>
    <w:p>
      <w:pPr>
        <w:pStyle w:val="Heading1"/>
        <w:spacing w:after="120" w:before="300"/>
      </w:pPr>
      <w:r>
        <w:t xml:space="preserve">The trap</w:t>
      </w:r>
    </w:p>
    <w:p>
      <w:pPr>
        <w:spacing w:after="160"/>
      </w:pPr>
      <w:r>
        <w:rPr>
          <w:b/>
          <w:bCs/>
        </w:rPr>
        <w:t xml:space="preserve">The trap is genuinely live: a learner who compares only sticker-price monthly rent picks The Cedarline outright, and that shortcut happens to agree with the correct answer under the stay-full-term scenario (16.9% in Cedarline's favor) — reinforcing false confidence — but is wrong under the break-at-month-6 scenario, where the same shortcut still says "Cedarline" while the amortized math says Aldergate by 10.7%. Watch for students who run the sticker-price comparison once, get a confident answer, and never re-run it for the break-at-month-6 case because "we already know Cedarline is cheaper." The second-order trap: a student who does catch the reversal may then overcorrect and assume Aldergate is unconditionally better, missing that the reversal is scenario-dependent, not absolute — D5's memo should defend a recommendation for both scenarios, not just declare an overall winner.</w:t>
      </w:r>
    </w:p>
    <w:p>
      <w:pPr>
        <w:pStyle w:val="Heading1"/>
        <w:spacing w:after="120" w:before="300"/>
      </w:pPr>
      <w:r>
        <w:t xml:space="preserve">Sensitivity note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7edcf" w:color="auto" w:val="clear"/>
          </w:tcPr>
          <w:p>
            <w:pPr>
              <w:spacing w:after="160"/>
            </w:pPr>
            <w:r>
              <w:t xml:space="preserve">MA2 (The Cedarline's early-termination penalty, $5,065 = 3.5 months' rent) is the highest-leverage modeling assumption in the case and the dial that determines whether the case's reversal exists at all. A Hero who argues the penalty should sit at the lower, more ordinary end of the real range (1-2 months' rent, per S5) is making a legitimate challenge and should be pushed to show exactly how far the number would have to fall before the break-at-month-6 recommendation flips back to Cedarline — never state that threshold in case.md itself.</w:t>
            </w:r>
          </w:p>
        </w:tc>
      </w:tr>
    </w:tbl>
    <w:p>
      <w:pPr>
        <w:pStyle w:val="Heading1"/>
        <w:spacing w:after="120" w:before="300"/>
      </w:pPr>
      <w:r>
        <w:t xml:space="preserve">Five Socratic questions</w:t>
      </w:r>
    </w:p>
    <w:p>
      <w:pPr>
        <w:pStyle w:val="ListParagraph"/>
        <w:numPr>
          <w:ilvl w:val="0"/>
          <w:numId w:val="2"/>
        </w:numPr>
        <w:spacing w:after="100"/>
      </w:pPr>
      <w:r>
        <w:t xml:space="preserve">Under the "stay full term" scenario, which lease actually costs less per month once you amortize the move-in cost, and does that match which lease has the lower sticker-price rent?</w:t>
      </w:r>
    </w:p>
    <w:p>
      <w:pPr>
        <w:pStyle w:val="ListParagraph"/>
        <w:numPr>
          <w:ilvl w:val="0"/>
          <w:numId w:val="2"/>
        </w:numPr>
        <w:spacing w:after="100"/>
      </w:pPr>
      <w:r>
        <w:t xml:space="preserve">Under the "break at month 6" scenario, how much does each lease's effective monthly cost change compared to the full-term scenario, and why does one lease change so much more than the other?</w:t>
      </w:r>
    </w:p>
    <w:p>
      <w:pPr>
        <w:pStyle w:val="ListParagraph"/>
        <w:numPr>
          <w:ilvl w:val="0"/>
          <w:numId w:val="2"/>
        </w:numPr>
        <w:spacing w:after="100"/>
      </w:pPr>
      <w:r>
        <w:t xml:space="preserve">The Cedarline's move-in fee is what percent of one month's rent, and the Aldergate's deposit is what percent of one month's rent — does that percentage alone tell you which lease is the better deal, or do you need the termination terms too?</w:t>
      </w:r>
    </w:p>
    <w:p>
      <w:pPr>
        <w:pStyle w:val="ListParagraph"/>
        <w:numPr>
          <w:ilvl w:val="0"/>
          <w:numId w:val="2"/>
        </w:numPr>
        <w:spacing w:after="100"/>
      </w:pPr>
      <w:r>
        <w:t xml:space="preserve">If Maya were certain her contract would extend to the full term, would your recommendation change? What single number in Appendix A or B would have to shift for your recommendation to flip under the "break at month 6" scenario?</w:t>
      </w:r>
    </w:p>
    <w:p>
      <w:pPr>
        <w:pStyle w:val="ListParagraph"/>
        <w:numPr>
          <w:ilvl w:val="0"/>
          <w:numId w:val="2"/>
        </w:numPr>
        <w:spacing w:after="100"/>
      </w:pPr>
      <w:r>
        <w:t xml:space="preserve">A renter who only compared the two leases' monthly rent numbers would pick one specific apartment — which one, and does that renter's shortcut hold up under both scenarios, or only one?</w:t>
      </w:r>
    </w:p>
    <w:p>
      <w:pPr>
        <w:pStyle w:val="Heading1"/>
        <w:spacing w:after="120" w:before="300"/>
      </w:pPr>
      <w:r>
        <w:t xml:space="preserve">What a strong defense sounds like</w:t>
      </w:r>
    </w:p>
    <w:p>
      <w:pPr>
        <w:spacing w:after="160"/>
      </w:pPr>
      <w:r>
        <w:t xml:space="preserve">A strong D5 memo does not just declare a winner — it names both scenario outcomes explicitly (Cedarline cheaper if the contract extends; Aldergate cheaper if it doesn't), states which scenario the recommendation is actually betting on and why, and shows the amortization arithmetic rather than asserting the sticker-price comparison is wrong. It should acknowledge that the stay-full-term margin (16.9%) is wider than the break-scenario margin (10.7%), and that Maya's actual decision hinges on how confident she is about her contract extending — not on which number is bigger in isolation. There is no single right lease; there is a defensible read of which future is more likely, defended with both scenarios' real numbers.</w:t>
      </w:r>
    </w:p>
    <w:p>
      <w:pPr>
        <w:pStyle w:val="Heading1"/>
        <w:spacing w:after="120" w:before="300"/>
      </w:pPr>
      <w:r>
        <w:t xml:space="preserve">Skills this case exercises</w:t>
      </w:r>
    </w:p>
    <w:p>
      <w:pPr>
        <w:pStyle w:val="ListParagraph"/>
        <w:numPr>
          <w:ilvl w:val="0"/>
          <w:numId w:val="3"/>
        </w:numPr>
        <w:spacing w:after="80"/>
      </w:pPr>
      <w:r>
        <w:t xml:space="preserve">Percent (finding a percent of a number; finding a whole given a percent and a part)</w:t>
      </w:r>
    </w:p>
    <w:p>
      <w:pPr>
        <w:pStyle w:val="ListParagraph"/>
        <w:numPr>
          <w:ilvl w:val="0"/>
          <w:numId w:val="3"/>
        </w:numPr>
        <w:spacing w:after="80"/>
      </w:pPr>
      <w:r>
        <w:t xml:space="preserve">Proportion and ratio (amortizing a one-time cost across a variable number of months)</w:t>
      </w:r>
    </w:p>
    <w:p>
      <w:pPr>
        <w:pStyle w:val="ListParagraph"/>
        <w:numPr>
          <w:ilvl w:val="0"/>
          <w:numId w:val="3"/>
        </w:numPr>
        <w:spacing w:after="80"/>
      </w:pPr>
      <w:r>
        <w:t xml:space="preserve">Decimal arithmetic (addition and division)</w:t>
      </w:r>
    </w:p>
    <w:p>
      <w:pPr>
        <w:pStyle w:val="ListParagraph"/>
        <w:numPr>
          <w:ilvl w:val="0"/>
          <w:numId w:val="3"/>
        </w:numPr>
        <w:spacing w:after="80"/>
      </w:pPr>
      <w:r>
        <w:t xml:space="preserve">Comparing two or more values across two independent scenarios</w:t>
      </w:r>
    </w:p>
    <w:p>
      <w:pPr>
        <w:pStyle w:val="Heading1"/>
        <w:spacing w:after="120" w:before="300"/>
      </w:pPr>
      <w:r>
        <w:t xml:space="preserve">Guide Notes — the anchor ladder</w:t>
      </w:r>
    </w:p>
    <w:p>
      <w:pPr>
        <w:pStyle w:val="Heading2"/>
        <w:spacing w:after="100" w:before="200"/>
      </w:pPr>
      <w:r>
        <w:t xml:space="preserve">Intro</w:t>
      </w:r>
    </w:p>
    <w:p>
      <w:pPr>
        <w:spacing w:after="160"/>
      </w:pPr>
      <w:r>
        <w:t xml:space="preserve">Frame the format: Maya has to sign one lease today, sight unseen on how her contract situation resolves. Opener: "Two leases. One decision, due end of business. Which one?"</w:t>
      </w:r>
    </w:p>
    <w:p>
      <w:pPr>
        <w:pStyle w:val="Heading2"/>
        <w:spacing w:after="100" w:before="200"/>
      </w:pPr>
      <w:r>
        <w:t xml:space="preserve">Launch</w:t>
      </w:r>
    </w:p>
    <w:p>
      <w:pPr>
        <w:spacing w:after="160"/>
      </w:pPr>
      <w:r>
        <w:t xml:space="preserve">Show the Overview and Dilemma with no appendix numbers yet — just the two options in plain language. Ask the room to react to the framing alone.</w:t>
      </w:r>
    </w:p>
    <w:p>
      <w:pPr>
        <w:pStyle w:val="Heading2"/>
        <w:spacing w:after="100" w:before="200"/>
      </w:pPr>
      <w:r>
        <w:t xml:space="preserve">Anchor 1 — Take a stand and vote</w:t>
      </w:r>
    </w:p>
    <w:p>
      <w:pPr>
        <w:spacing w:after="160"/>
      </w:pPr>
      <w:r>
        <w:t xml:space="preserve">No reasoning yet. "Sign now — Cedarline or Aldergate?" Record the split; most rooms will lean toward whichever option sounds cheaper on its face (Cedarline).</w:t>
      </w:r>
    </w:p>
    <w:p>
      <w:pPr>
        <w:pStyle w:val="Heading2"/>
        <w:spacing w:after="100" w:before="200"/>
      </w:pPr>
      <w:r>
        <w:t xml:space="preserve">Anchor 2 — What is the problem we're solving?</w:t>
      </w:r>
    </w:p>
    <w:p>
      <w:pPr>
        <w:spacing w:after="160"/>
      </w:pPr>
      <w:r>
        <w:t xml:space="preserve">Push past "which lease is cheaper" toward "cheaper under which scenario." Nobody — not the facilitator, not Maya — knows yet whether her contract will extend.</w:t>
      </w:r>
    </w:p>
    <w:p>
      <w:pPr>
        <w:pStyle w:val="Heading2"/>
        <w:spacing w:after="100" w:before="200"/>
      </w:pPr>
      <w:r>
        <w:t xml:space="preserve">Anchor 3 — What is the process?</w:t>
      </w:r>
    </w:p>
    <w:p>
      <w:pPr>
        <w:spacing w:after="160"/>
      </w:pPr>
      <w:r>
        <w:t xml:space="preserve">Before touching Appendix A/B's numbers, get the room to state the comparison method: spread each lease's up-front cost and any termination penalty over the months actually lived there, then add that to monthly rent (D2, D3).</w:t>
      </w:r>
    </w:p>
    <w:p>
      <w:pPr>
        <w:pStyle w:val="Heading2"/>
        <w:spacing w:after="100" w:before="200"/>
      </w:pPr>
      <w:r>
        <w:t xml:space="preserve">Anchor 4 — What don't we know?</w:t>
      </w:r>
    </w:p>
    <w:p>
      <w:pPr>
        <w:spacing w:after="160"/>
      </w:pPr>
      <w:r>
        <w:t xml:space="preserve">Name the load-bearing unknown explicitly: whether Maya's contract extends.</w:t>
      </w:r>
    </w:p>
    <w:p>
      <w:pPr>
        <w:pStyle w:val="Heading2"/>
        <w:spacing w:after="100" w:before="200"/>
      </w:pPr>
      <w:r>
        <w:t xml:space="preserve">Data Deep Dive</w:t>
      </w:r>
    </w:p>
    <w:p>
      <w:pPr>
        <w:spacing w:after="160"/>
      </w:pPr>
      <w:r>
        <w:t xml:space="preserve">Open Appendices A–C. Run D1–D4 as a room. Stay-full-term favors Cedarline by 16.9%; break-at-month-6 favors Aldergate by 10.7%. Facilitate toward the contrast.</w:t>
      </w:r>
    </w:p>
    <w:p>
      <w:pPr>
        <w:pStyle w:val="Heading2"/>
        <w:spacing w:after="100" w:before="200"/>
      </w:pPr>
      <w:r>
        <w:t xml:space="preserve">Twist</w:t>
      </w:r>
    </w:p>
    <w:p>
      <w:pPr>
        <w:spacing w:after="160"/>
      </w:pPr>
      <w:r>
        <w:t xml:space="preserve">At roughly the 15-minute mark: "Maya's manager just called — the contract extension is now confirmed for sure, one way or the other." Per MA10, "extended" maps cleanly to the stay-full-term/D2 scenario. Groups that ran both D2 and D3 before committing should hold steady; groups that only ran one should visibly reverse or scramble.</w:t>
      </w:r>
    </w:p>
    <w:p>
      <w:pPr>
        <w:pStyle w:val="Heading2"/>
        <w:spacing w:after="100" w:before="200"/>
      </w:pPr>
      <w:r>
        <w:t xml:space="preserve">Close</w:t>
      </w:r>
    </w:p>
    <w:p>
      <w:pPr>
        <w:spacing w:after="160"/>
      </w:pPr>
      <w:r>
        <w:t xml:space="preserve">Vote again. Compare to Anchor 1's cold vote. Expect a genuine, scenario-driven split rather than convergence.</w:t>
      </w:r>
    </w:p>
    <w:p>
      <w:pPr>
        <w:pStyle w:val="Heading2"/>
        <w:spacing w:after="100" w:before="200"/>
      </w:pPr>
      <w:r>
        <w:t xml:space="preserve">Lessons Learned</w:t>
      </w:r>
    </w:p>
    <w:p>
      <w:pPr>
        <w:spacing w:after="160"/>
      </w:pPr>
      <w:r>
        <w:t xml:space="preserve">A sticker price is not a cost — a cost has to be amortized over the actual time period you'll experience it, and when that time period itself is uncertain, the honest answer is "it depends," computed under both possibilities rather than assumed away.</w:t>
      </w:r>
    </w:p>
    <w:p>
      <w:pPr>
        <w:pStyle w:val="Heading1"/>
        <w:spacing w:after="120" w:before="300"/>
      </w:pPr>
      <w:r>
        <w:t xml:space="preserve">45-minute Socratic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a3a5c" w:color="auto" w:val="clear"/>
          </w:tcPr>
          <w:p>
            <w:r>
              <w:rPr>
                <w:b/>
                <w:bCs/>
                <w:color w:val="FFFFFF"/>
                <w:sz w:val="20"/>
                <w:szCs w:val="20"/>
              </w:rPr>
              <w:t xml:space="preserve">Time</w:t>
            </w:r>
          </w:p>
        </w:tc>
        <w:tc>
          <w:tcPr>
            <w:tcW w:type="dxa" w:w="7900"/>
            <w:shd w:fill="1a3a5c" w:color="auto" w:val="clear"/>
          </w:tcPr>
          <w:p>
            <w:r>
              <w:rPr>
                <w:b/>
                <w:bCs/>
                <w:color w:val="FFFFFF"/>
                <w:sz w:val="20"/>
                <w:szCs w:val="20"/>
              </w:rPr>
              <w:t xml:space="preserve">Move</w:t>
            </w:r>
          </w:p>
        </w:tc>
      </w:tr>
      <w:tr>
        <w:tc>
          <w:tcPr>
            <w:tcW w:type="dxa" w:w="1600"/>
          </w:tcPr>
          <w:p>
            <w:r>
              <w:rPr>
                <w:b w:val="false"/>
                <w:bCs w:val="false"/>
                <w:sz w:val="20"/>
                <w:szCs w:val="20"/>
              </w:rPr>
              <w:t xml:space="preserve">0:00-3:00</w:t>
            </w:r>
          </w:p>
        </w:tc>
        <w:tc>
          <w:tcPr>
            <w:tcW w:type="dxa" w:w="7900"/>
          </w:tcPr>
          <w:p>
            <w:r>
              <w:rPr>
                <w:b w:val="false"/>
                <w:bCs w:val="false"/>
                <w:sz w:val="20"/>
                <w:szCs w:val="20"/>
              </w:rPr>
              <w:t xml:space="preserve">Cold-call launch, 30-second gut-check vote (Anchor 1) — no explanation</w:t>
            </w:r>
          </w:p>
        </w:tc>
      </w:tr>
      <w:tr>
        <w:tc>
          <w:tcPr>
            <w:tcW w:type="dxa" w:w="1600"/>
          </w:tcPr>
          <w:p>
            <w:r>
              <w:rPr>
                <w:b w:val="false"/>
                <w:bCs w:val="false"/>
                <w:sz w:val="20"/>
                <w:szCs w:val="20"/>
              </w:rPr>
              <w:t xml:space="preserve">3:00-10:00</w:t>
            </w:r>
          </w:p>
        </w:tc>
        <w:tc>
          <w:tcPr>
            <w:tcW w:type="dxa" w:w="7900"/>
          </w:tcPr>
          <w:p>
            <w:r>
              <w:rPr>
                <w:b w:val="false"/>
                <w:bCs w:val="false"/>
                <w:sz w:val="20"/>
                <w:szCs w:val="20"/>
              </w:rPr>
              <w:t xml:space="preserve">Position defense: "Convince us why your pick is better, not just cheaper-looking"</w:t>
            </w:r>
          </w:p>
        </w:tc>
      </w:tr>
      <w:tr>
        <w:tc>
          <w:tcPr>
            <w:tcW w:type="dxa" w:w="1600"/>
          </w:tcPr>
          <w:p>
            <w:r>
              <w:rPr>
                <w:b w:val="false"/>
                <w:bCs w:val="false"/>
                <w:sz w:val="20"/>
                <w:szCs w:val="20"/>
              </w:rPr>
              <w:t xml:space="preserve">10:00-15:00</w:t>
            </w:r>
          </w:p>
        </w:tc>
        <w:tc>
          <w:tcPr>
            <w:tcW w:type="dxa" w:w="7900"/>
          </w:tcPr>
          <w:p>
            <w:r>
              <w:rPr>
                <w:b w:val="false"/>
                <w:bCs w:val="false"/>
                <w:sz w:val="20"/>
                <w:szCs w:val="20"/>
              </w:rPr>
              <w:t xml:space="preserve">Pressure-test: "Whose recommendation only works under one of the two scenarios?"</w:t>
            </w:r>
          </w:p>
        </w:tc>
      </w:tr>
      <w:tr>
        <w:tc>
          <w:tcPr>
            <w:tcW w:type="dxa" w:w="1600"/>
          </w:tcPr>
          <w:p>
            <w:r>
              <w:rPr>
                <w:b w:val="false"/>
                <w:bCs w:val="false"/>
                <w:sz w:val="20"/>
                <w:szCs w:val="20"/>
              </w:rPr>
              <w:t xml:space="preserve">15:00</w:t>
            </w:r>
          </w:p>
        </w:tc>
        <w:tc>
          <w:tcPr>
            <w:tcW w:type="dxa" w:w="7900"/>
          </w:tcPr>
          <w:p>
            <w:r>
              <w:rPr>
                <w:b w:val="false"/>
                <w:bCs w:val="false"/>
                <w:sz w:val="20"/>
                <w:szCs w:val="20"/>
              </w:rPr>
              <w:t xml:space="preserve">DROP THE TWIST — the contract-extension question is resolved one way or the other</w:t>
            </w:r>
          </w:p>
        </w:tc>
      </w:tr>
      <w:tr>
        <w:tc>
          <w:tcPr>
            <w:tcW w:type="dxa" w:w="1600"/>
          </w:tcPr>
          <w:p>
            <w:r>
              <w:rPr>
                <w:b w:val="false"/>
                <w:bCs w:val="false"/>
                <w:sz w:val="20"/>
                <w:szCs w:val="20"/>
              </w:rPr>
              <w:t xml:space="preserve">15:00-20:00</w:t>
            </w:r>
          </w:p>
        </w:tc>
        <w:tc>
          <w:tcPr>
            <w:tcW w:type="dxa" w:w="7900"/>
          </w:tcPr>
          <w:p>
            <w:r>
              <w:rPr>
                <w:b w:val="false"/>
                <w:bCs w:val="false"/>
                <w:sz w:val="20"/>
                <w:szCs w:val="20"/>
              </w:rPr>
              <w:t xml:space="preserve">Immediate recommit: who reverses, who holds?</w:t>
            </w:r>
          </w:p>
        </w:tc>
      </w:tr>
      <w:tr>
        <w:tc>
          <w:tcPr>
            <w:tcW w:type="dxa" w:w="1600"/>
          </w:tcPr>
          <w:p>
            <w:r>
              <w:rPr>
                <w:b w:val="false"/>
                <w:bCs w:val="false"/>
                <w:sz w:val="20"/>
                <w:szCs w:val="20"/>
              </w:rPr>
              <w:t xml:space="preserve">20:00-30:00</w:t>
            </w:r>
          </w:p>
        </w:tc>
        <w:tc>
          <w:tcPr>
            <w:tcW w:type="dxa" w:w="7900"/>
          </w:tcPr>
          <w:p>
            <w:r>
              <w:rPr>
                <w:b w:val="false"/>
                <w:bCs w:val="false"/>
                <w:sz w:val="20"/>
                <w:szCs w:val="20"/>
              </w:rPr>
              <w:t xml:space="preserve">Threaded deep conflict: (1) betting on extension vs. not, (2) sticker price vs. effective monthly cost</w:t>
            </w:r>
          </w:p>
        </w:tc>
      </w:tr>
      <w:tr>
        <w:tc>
          <w:tcPr>
            <w:tcW w:type="dxa" w:w="1600"/>
          </w:tcPr>
          <w:p>
            <w:r>
              <w:rPr>
                <w:b w:val="false"/>
                <w:bCs w:val="false"/>
                <w:sz w:val="20"/>
                <w:szCs w:val="20"/>
              </w:rPr>
              <w:t xml:space="preserve">30:00-45:00</w:t>
            </w:r>
          </w:p>
        </w:tc>
        <w:tc>
          <w:tcPr>
            <w:tcW w:type="dxa" w:w="7900"/>
          </w:tcPr>
          <w:p>
            <w:r>
              <w:rPr>
                <w:b w:val="false"/>
                <w:bCs w:val="false"/>
                <w:sz w:val="20"/>
                <w:szCs w:val="20"/>
              </w:rPr>
              <w:t xml:space="preserve">Close, re-vote, reflection, lessons learned</w:t>
            </w:r>
          </w:p>
        </w:tc>
      </w:tr>
    </w:tbl>
    <w:p>
      <w:pPr>
        <w:pStyle w:val="Heading1"/>
        <w:spacing w:after="120" w:before="300"/>
      </w:pPr>
      <w:r>
        <w:t xml:space="preserve">Cohort bands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900"/>
      </w:tblGrid>
      <w:tr>
        <w:trPr>
          <w:tblHeader/>
        </w:trPr>
        <w:tc>
          <w:tcPr>
            <w:tcW w:type="dxa" w:w="1800"/>
            <w:shd w:fill="1a3a5c" w:color="auto" w:val="clear"/>
          </w:tcPr>
          <w:p>
            <w:r>
              <w:rPr>
                <w:b/>
                <w:bCs/>
                <w:color w:val="FFFFFF"/>
                <w:sz w:val="20"/>
                <w:szCs w:val="20"/>
              </w:rPr>
              <w:t xml:space="preserve">Band</w:t>
            </w:r>
          </w:p>
        </w:tc>
        <w:tc>
          <w:tcPr>
            <w:tcW w:type="dxa" w:w="1800"/>
            <w:shd w:fill="1a3a5c" w:color="auto" w:val="clear"/>
          </w:tcPr>
          <w:p>
            <w:r>
              <w:rPr>
                <w:b/>
                <w:bCs/>
                <w:color w:val="FFFFFF"/>
                <w:sz w:val="20"/>
                <w:szCs w:val="20"/>
              </w:rPr>
              <w:t xml:space="preserve">Typical size</w:t>
            </w:r>
          </w:p>
        </w:tc>
        <w:tc>
          <w:tcPr>
            <w:tcW w:type="dxa" w:w="5900"/>
            <w:shd w:fill="1a3a5c" w:color="auto" w:val="clear"/>
          </w:tcPr>
          <w:p>
            <w:r>
              <w:rPr>
                <w:b/>
                <w:bCs/>
                <w:color w:val="FFFFFF"/>
                <w:sz w:val="20"/>
                <w:szCs w:val="20"/>
              </w:rPr>
              <w:t xml:space="preserve">What changes</w:t>
            </w:r>
          </w:p>
        </w:tc>
      </w:tr>
      <w:tr>
        <w:tc>
          <w:tcPr>
            <w:tcW w:type="dxa" w:w="1800"/>
          </w:tcPr>
          <w:p>
            <w:r>
              <w:rPr>
                <w:b w:val="false"/>
                <w:bCs w:val="false"/>
                <w:sz w:val="20"/>
                <w:szCs w:val="20"/>
              </w:rPr>
              <w:t xml:space="preserve">Full</w:t>
            </w:r>
          </w:p>
        </w:tc>
        <w:tc>
          <w:tcPr>
            <w:tcW w:type="dxa" w:w="1800"/>
          </w:tcPr>
          <w:p>
            <w:r>
              <w:rPr>
                <w:b w:val="false"/>
                <w:bCs w:val="false"/>
                <w:sz w:val="20"/>
                <w:szCs w:val="20"/>
              </w:rPr>
              <w:t xml:space="preserve">12-20</w:t>
            </w:r>
          </w:p>
        </w:tc>
        <w:tc>
          <w:tcPr>
            <w:tcW w:type="dxa" w:w="5900"/>
          </w:tcPr>
          <w:p>
            <w:r>
              <w:rPr>
                <w:b w:val="false"/>
                <w:bCs w:val="false"/>
                <w:sz w:val="20"/>
                <w:szCs w:val="20"/>
              </w:rPr>
              <w:t xml:space="preserve">Anchors and timings run as written above</w:t>
            </w:r>
          </w:p>
        </w:tc>
      </w:tr>
      <w:tr>
        <w:tc>
          <w:tcPr>
            <w:tcW w:type="dxa" w:w="1800"/>
          </w:tcPr>
          <w:p>
            <w:r>
              <w:rPr>
                <w:b w:val="false"/>
                <w:bCs w:val="false"/>
                <w:sz w:val="20"/>
                <w:szCs w:val="20"/>
              </w:rPr>
              <w:t xml:space="preserve">Compressed</w:t>
            </w:r>
          </w:p>
        </w:tc>
        <w:tc>
          <w:tcPr>
            <w:tcW w:type="dxa" w:w="1800"/>
          </w:tcPr>
          <w:p>
            <w:r>
              <w:rPr>
                <w:b w:val="false"/>
                <w:bCs w:val="false"/>
                <w:sz w:val="20"/>
                <w:szCs w:val="20"/>
              </w:rPr>
              <w:t xml:space="preserve">6-11</w:t>
            </w:r>
          </w:p>
        </w:tc>
        <w:tc>
          <w:tcPr>
            <w:tcW w:type="dxa" w:w="5900"/>
          </w:tcPr>
          <w:p>
            <w:r>
              <w:rPr>
                <w:b w:val="false"/>
                <w:bCs w:val="false"/>
                <w:sz w:val="20"/>
                <w:szCs w:val="20"/>
              </w:rPr>
              <w:t xml:space="preserve">Anchors 2-3 combine into one pass; the deep-conflict section runs one thread instead of two</w:t>
            </w:r>
          </w:p>
        </w:tc>
      </w:tr>
      <w:tr>
        <w:tc>
          <w:tcPr>
            <w:tcW w:type="dxa" w:w="1800"/>
          </w:tcPr>
          <w:p>
            <w:r>
              <w:rPr>
                <w:b w:val="false"/>
                <w:bCs w:val="false"/>
                <w:sz w:val="20"/>
                <w:szCs w:val="20"/>
              </w:rPr>
              <w:t xml:space="preserve">1:1 / pair</w:t>
            </w:r>
          </w:p>
        </w:tc>
        <w:tc>
          <w:tcPr>
            <w:tcW w:type="dxa" w:w="1800"/>
          </w:tcPr>
          <w:p>
            <w:r>
              <w:rPr>
                <w:b w:val="false"/>
                <w:bCs w:val="false"/>
                <w:sz w:val="20"/>
                <w:szCs w:val="20"/>
              </w:rPr>
              <w:t xml:space="preserve">1-2</w:t>
            </w:r>
          </w:p>
        </w:tc>
        <w:tc>
          <w:tcPr>
            <w:tcW w:type="dxa" w:w="5900"/>
          </w:tcPr>
          <w:p>
            <w:r>
              <w:rPr>
                <w:b w:val="false"/>
                <w:bCs w:val="false"/>
                <w:sz w:val="20"/>
                <w:szCs w:val="20"/>
              </w:rPr>
              <w:t xml:space="preserve">No vote at Anchor 1 — a stated initial position instead; facilitator plays devil's advocate directly</w:t>
            </w:r>
          </w:p>
        </w:tc>
      </w:tr>
    </w:tbl>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2026-09-05T22:44:05.071Z</dcterms:created>
  <dcterms:modified xsi:type="dcterms:W3CDTF">2026-09-05T22:44:05.075Z</dcterms:modified>
</cp:coreProperties>
</file>

<file path=docProps/custom.xml><?xml version="1.0" encoding="utf-8"?>
<Properties xmlns="http://schemas.openxmlformats.org/officeDocument/2006/custom-properties" xmlns:vt="http://schemas.openxmlformats.org/officeDocument/2006/docPropsVTypes"/>
</file>