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Biostatician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 Guide — Biostatician</w:t>
      </w:r>
    </w:p>
    <w:p>
      <w:r>
        <w:rPr>
          <w:b/>
          <w:bCs/>
        </w:rPr>
        <w:t xml:space="preserve">Sensitive-content flag (SPEC.md Section 6):</w:t>
      </w:r>
      <w:r>
        <w:t xml:space="preserve"> this case touches weight-based discrimination in healthcare, a topic some learners may have direct personal experience with. Keep the discussion about the </w:t>
      </w:r>
      <w:r>
        <w:rPr>
          <w:i/>
          <w:iCs/>
        </w:rPr>
        <w:t xml:space="preserve">data and the decision</w:t>
      </w:r>
      <w:r>
        <w:t xml:space="preserve">, not about any individual student's body or health. If the conversation drifts toward a specific learner's experience, redirect gently to the numbers.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this is a real decision a hospital biostatistician has to defend to her CEO, using a real, published dataset. There is no "correct" answer key — there is a defensible argument on each side, and the room's job is to find both, then decide which one wins.</w:t>
      </w:r>
    </w:p>
    <w:p>
      <w:r>
        <w:rPr>
          <w:b/>
          <w:bCs/>
        </w:rPr>
        <w:t xml:space="preserve">Opener:</w:t>
      </w:r>
      <w:r>
        <w:t xml:space="preserve"> "Ingrid Robertson has 109 real physician responses in front of her, and her CEO wants one word: recommend the training, or don't. What's your gut answer, before you've touched a single number?"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the case's Overview (or read it aloud) and Appendix C's complaint-count table (15/435 last quarter, 82/1,458 this year). Do not show Appendix B's dataset yet — that's the Data Deep Dive, deliberately later.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t xml:space="preserve">No reasoning yet, just commit. "Show of hands: who recommends the training? Who doesn't? Who's not sure?" Record the split — you'll return to it at the Close.</w:t>
      </w:r>
    </w:p>
    <w:p>
      <w:r>
        <w:t xml:space="preserve">"Is anyone courageous enough to stand behind 'don't recommend it' with the complaint numbers climbing the way they are?"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t xml:space="preserve">"Is this the right question? What do you mean by 'discriminate' — does it mean physicians spend less time, order fewer tests, something else? What would actually convince you either way?"</w:t>
      </w:r>
    </w:p>
    <w:p>
      <w:r>
        <w:t xml:space="preserve">Let confusion grow deliberately here. A common early stumble: conflating the </w:t>
      </w:r>
      <w:r>
        <w:rPr>
          <w:i/>
          <w:iCs/>
        </w:rPr>
        <w:t xml:space="preserve">complaint counts</w:t>
      </w:r>
      <w:r>
        <w:t xml:space="preserve"> (which are not evidence of anything on their own — no baseline, no per-physician breakdown) with the </w:t>
      </w:r>
      <w:r>
        <w:rPr>
          <w:i/>
          <w:iCs/>
        </w:rPr>
        <w:t xml:space="preserve">time-spent data</w:t>
      </w:r>
      <w:r>
        <w:t xml:space="preserve"> (which is the case's real evidence). "Wow, this is a harder question to even define than it looked."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t xml:space="preserve">"If we go through Appendix B and find real differences in time spent, how do we decide if they're big enough to matter? Big enough to spend $265-per-physician on?"</w:t>
      </w:r>
    </w:p>
    <w:p>
      <w:r>
        <w:t xml:space="preserve">Re-ask: "Is our question still the right question — or is it actually two questions (is there a real gap? and is fixing it worth the cost?) that we've been treating as one?"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t xml:space="preserve">"Do we need to make assumptions? Which ones are load-bearing?" Surface, without answering yet:</w:t>
      </w:r>
    </w:p>
    <w:p>
      <w:pPr>
        <w:ind w:left="360"/>
      </w:pPr>
      <w:r>
        <w:t xml:space="preserve">- Who counts as "its physicians" if the training is approved — all 1,852, or just the 1,228   primary care physicians the study actually surveyed? (Appendix D, MA1)</w:t>
      </w:r>
    </w:p>
    <w:p>
      <w:pPr>
        <w:ind w:left="360"/>
      </w:pPr>
      <w:r>
        <w:t xml:space="preserve">- Which profit years should count as "typical" when judging whether $265/physician is   affordable? (Appendix D, MA2)</w:t>
      </w:r>
    </w:p>
    <w:p>
      <w:pPr>
        <w:ind w:left="360"/>
      </w:pPr>
      <w:r>
        <w:t xml:space="preserve">- 13 of the 122 physicians who got a chart never had a time answer recorded. Does that matter?   (Appendix D, MA3 — this is the seed for the Twist, don't over-explain it yet)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hand out or reveal Appendix B's full 109-row dataset. Let the room work D1–D5 (histograms, box plots, the percent-above-median comparison, the gender/age mean comparison, the outlier check). This typically takes the bulk of the working session before discussion.</w:t>
      </w:r>
    </w:p>
    <w:p>
      <w:pPr>
        <w:pStyle w:val="Heading2"/>
        <w:spacing w:after="120" w:before="240"/>
      </w:pPr>
      <w:r>
        <w:t xml:space="preserve">Twist</w:t>
      </w:r>
    </w:p>
    <w:p>
      <w:r>
        <w:rPr>
          <w:b/>
          <w:bCs/>
        </w:rPr>
        <w:t xml:space="preserve">Named trap, so you're watching for it, not discovering it live:</w:t>
      </w:r>
      <w:r>
        <w:t xml:space="preserve"> a Hero computes the mean or median time gap between average-weight and heavier patients, calls it "proof of bias," and recommends the training — without ever asking whether the 109 recorded responses are a fair stand-in for the 122 physicians who were actually surveyed. This is the most natural reading of the data and the easiest way to reach a confident, under-examined answer either direction.</w:t>
      </w:r>
    </w:p>
    <w:p>
      <w:r>
        <w:rPr>
          <w:b/>
          <w:bCs/>
        </w:rPr>
        <w:t xml:space="preserve">The twist, dropped around the 15-minute mark:</w:t>
      </w:r>
      <w:r>
        <w:t xml:space="preserve"> "One more thing. 122 physicians were mailed a chart. Only 109 answers are on record. That's 13 missing — about 1 in 9. Here's the breakdown by which chart they got: if the 122 physicians split evenly three ways across weight condition, you'd expect about 41 responses per group. The overweight and obese groups came in close to that (38 each — short about 3 apiece). The average-weight group came in at 33 — short about 8, roughly double either of the other groups' shortfall, and more than half of everything missing across the whole study. The physicians who got a completely unremarkable, average-weight chart were the ones most likely to never send back a time estimate at all."</w:t>
      </w:r>
    </w:p>
    <w:p>
      <w:r>
        <w:t xml:space="preserve">Follow-up: </w:t>
      </w:r>
      <w:r>
        <w:rPr>
          <w:b/>
          <w:bCs/>
        </w:rPr>
        <w:t xml:space="preserve">"What just broke in your model? Were you wrong about the gap being real — or just missing information about how big it really is?"</w:t>
      </w:r>
      <w:r>
        <w:t xml:space="preserve"> Push toward the actual open question: if "boring chart → skip the survey" is the reason those 13 are missing, does that make the measured 26.6% gap too </w:t>
      </w:r>
      <w:r>
        <w:rPr>
          <w:i/>
          <w:iCs/>
        </w:rPr>
        <w:t xml:space="preserve">big</w:t>
      </w:r>
      <w:r>
        <w:t xml:space="preserve"> (some of the missing average-weight physicians might have said something short and unremarkable, dragging the average-weight </w:t>
      </w:r>
      <w:r>
        <w:rPr>
          <w:i/>
          <w:iCs/>
        </w:rPr>
        <w:t xml:space="preserve">mean</w:t>
      </w:r>
      <w:r>
        <w:t xml:space="preserve"> down if they'd answered) or too </w:t>
      </w:r>
      <w:r>
        <w:rPr>
          <w:i/>
          <w:iCs/>
        </w:rPr>
        <w:t xml:space="preserve">small</w:t>
      </w:r>
      <w:r>
        <w:t xml:space="preserve"> (physicians who felt strongly enough about an overweight/obese chart to have an opinion may have been more likely to answer at all, in either direction)? There is no single correct resolution — that's the point. The case does not resolve this; it asks the Hero to state which reading they're using and defend it (SPEC.md Section 3's T4 requirement).</w:t>
      </w:r>
    </w:p>
    <w:p>
      <w:r>
        <w:rPr>
          <w:b/>
          <w:bCs/>
        </w:rPr>
        <w:t xml:space="preserve">Soundness check (both readings hold):</w:t>
      </w:r>
      <w:r>
        <w:t xml:space="preserve"> Under a </w:t>
      </w:r>
      <w:r>
        <w:rPr>
          <w:i/>
          <w:iCs/>
        </w:rPr>
        <w:t xml:space="preserve">sequential</w:t>
      </w:r>
      <w:r>
        <w:t xml:space="preserve"> reading (a Hero first computes the 26.6% gap from the 109 recorded responses, then is told about the missing 13), the twist directly undercuts the confidence of a conclusion already reached — the natural reaction is "wait, is my 26.6% even the right number?" Under a </w:t>
      </w:r>
      <w:r>
        <w:rPr>
          <w:i/>
          <w:iCs/>
        </w:rPr>
        <w:t xml:space="preserve">simultaneous</w:t>
      </w:r>
      <w:r>
        <w:t xml:space="preserve"> reading (a Hero is handed Appendix B and Appendix D's Assumption 3 together from the start, before computing anything), the twist still lands: it forces the Hero to state, in writing, which nonresponse-mechanism assumption they're using </w:t>
      </w:r>
      <w:r>
        <w:rPr>
          <w:i/>
          <w:iCs/>
        </w:rPr>
        <w:t xml:space="preserve">before</w:t>
      </w:r>
      <w:r>
        <w:t xml:space="preserve"> they can defend a specific gap percentage, rather than computing first and rationalizing second. Neither reading makes the twist a no-op, and neither reading resolves it for the Hero — both leave "is the missingness random?" as a genuinely open, stated assumption. This twist does not touch the training-cost side of the ledger (Appendix C, D) at all, so it never collides with the profit-window or training-scope assumptions.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Re-vote.</w:t>
      </w:r>
      <w:r>
        <w:t xml:space="preserve"> "Did we ask the right question? Who's changed their mind since Anchor 1, and why?"</w:t>
      </w:r>
    </w:p>
    <w:p>
      <w:r>
        <w:t xml:space="preserve">"What math was new to you today, and how did you attack it?" (percent-above-median, comparing a gap to a spread rather than just eyeballing two means, reasoning about missing data)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t xml:space="preserve">From the original 2021-22 Guide Notes and this conversion: the strongest discussions did not settle on "recommend" or "don't recommend" quickly — the room that spent real time on Anchor 2 (defining what "discriminate" even means, operationally, before touching a calculator) produced sharper D3/D4 work than a room that jumped straight to computing. The complaint-count trap (see case.md's facilitator-only Balance Argument) is easy to fall into precisely because it's the first number in Background — watch for a Hero anchoring on it before ever opening Appendix B.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and Appendix G of case.md for the full verbatim list: Mean, Median, Range, Quartiles, Outlier, Histogram, Box And Whisker Plot, Percent, and their associated "how to…" procedures.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Your D3 work shows roughly three-quarters of average-weight patients got </w:t>
      </w:r>
      <w:r>
        <w:rPr>
          <w:i/>
          <w:iCs/>
        </w:rPr>
        <w:t xml:space="preserve">more</w:t>
      </w:r>
      <w:r>
        <w:t xml:space="preserve"> time than the overweight group's median, and a similar fraction got more time than the obese group's median (22.5 vs. 20 minutes) — why might those two percentages land so close together even though the medians themselves are different?</w:t>
      </w:r>
    </w:p>
    <w:p>
      <w:pPr>
        <w:ind w:left="360"/>
      </w:pPr>
      <w:r>
        <w:t xml:space="preserve">2. You have both a mean gap and a median gap between the average-weight and heavier groups, and they don't tell exactly the same story — which one would you put in front of a hospital CEO, and why, given what the obese group's box plot (D2) shows about its outlier(s)?</w:t>
      </w:r>
    </w:p>
    <w:p>
      <w:pPr>
        <w:ind w:left="360"/>
      </w:pPr>
      <w:r>
        <w:t xml:space="preserve">3. Your D4 table breaks the data down by gender and by age — if neither split shows a gap anywhere near as large as the weight-status gap, what does that do to an argument that "physicians are just busier with older or male patients, not weight-biased"?</w:t>
      </w:r>
    </w:p>
    <w:p>
      <w:pPr>
        <w:ind w:left="360"/>
      </w:pPr>
      <w:r>
        <w:t xml:space="preserve">4. The training costs $265 per physician — multiply that out for the physician count you chose under MA1, compare it to the typical-year profit you chose under MA2, and tell me: at what physician count would that total cost stop being smaller than the size of the 26.6% gap you measured?</w:t>
      </w:r>
    </w:p>
    <w:p>
      <w:pPr>
        <w:ind w:left="360"/>
      </w:pPr>
      <w:r>
        <w:t xml:space="preserve">5. Thirteen of 122 physicians never sent back a time estimate, and they weren't missing evenly — what's your best guess for why the "average-weight" chart's physicians were the least likely to respond, and does that guess make you trust the measured gap more, or less?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Cold-call launch, 30-second gut-check commitments, stand/sit vote at Anchor 1 — no reasoning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defense: "Convince us why it's the right call, not just a defensible one"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models: "Whose recommendation is resting on the shakiest number?" (steer toward the complaint-count trap if nobody's found it yet)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13 missing responses, delivered slowly, with the actual shortfall numbers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recommit: who reverses, who holds? "What just broke — was your gap wrong, or just uncertain?"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conflict, 2–3 named threads: (a) mean vs. median as the "right" summary statistic given the obese group's outlier(s); (b) the training-scope assumption (MA1) vs. the profit-window assumption (MA2) — which one a Hero picks changes the cost side of the ledger more; (c) whether one single-scenario study (a migraine visit) should drive a hospital-wide policy at all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Sensitivity Note</w:t>
      </w:r>
    </w:p>
    <w:p>
      <w:r>
        <w:rPr>
          <w:rFonts w:ascii="Courier New" w:cs="Courier New" w:eastAsia="Courier New" w:hAnsi="Courier New"/>
        </w:rPr>
        <w:t xml:space="preserve">cases/biostatician/sensitivity_model.py</w:t>
      </w:r>
      <w:r>
        <w:t xml:space="preserve"> flexes the case's two genuine stated assumptions (Appendix D MA1 — how many physicians the training covers; MA2 — how many profit years count as "typical") by ±50% each, against the case's own recorded base margin of </w:t>
      </w:r>
      <w:r>
        <w:rPr>
          <w:b/>
          <w:bCs/>
        </w:rPr>
        <w:t xml:space="preserve">13.1 percentage points</w:t>
      </w:r>
      <w:r>
        <w:t xml:space="preserve"> (</w:t>
      </w:r>
      <w:r>
        <w:rPr>
          <w:rFonts w:ascii="Courier New" w:cs="Courier New" w:eastAsia="Courier New" w:hAnsi="Courier New"/>
        </w:rPr>
        <w:t xml:space="preserve">case.json.balance.margin_pct</w:t>
      </w:r>
      <w:r>
        <w:t xml:space="preserve">). </w:t>
      </w:r>
      <w:r>
        <w:rPr>
          <w:b/>
          <w:bCs/>
        </w:rPr>
        <w:t xml:space="preserve">Result: the winner never flips</w:t>
      </w:r>
      <w:r>
        <w:t xml:space="preserve"> — Option A (recommend) leads at every tested flex of either dial, and in the case's own percentage-point framing the margin stays a defensible spread throughout (worst case: +50% on </w:t>
      </w:r>
      <w:r>
        <w:rPr>
          <w:rFonts w:ascii="Courier New" w:cs="Courier New" w:eastAsia="Courier New" w:hAnsi="Courier New"/>
        </w:rPr>
        <w:t xml:space="preserve">trained_physician_count</w:t>
      </w:r>
      <w:r>
        <w:t xml:space="preserve">, margin narrows to 6.4 percentage points; -50% on the same dial widens it to 19.9 points; -50% on </w:t>
      </w:r>
      <w:r>
        <w:rPr>
          <w:rFonts w:ascii="Courier New" w:cs="Courier New" w:eastAsia="Courier New" w:hAnsi="Courier New"/>
        </w:rPr>
        <w:t xml:space="preserve">profit_window_years</w:t>
      </w:r>
      <w:r>
        <w:t xml:space="preserve"> widens it to 17.4 points).</w:t>
      </w:r>
    </w:p>
    <w:p>
      <w:r>
        <w:t xml:space="preserve">That said, this case's own automated Tier 2 probe (</w:t>
      </w:r>
      <w:r>
        <w:rPr>
          <w:rFonts w:ascii="Courier New" w:cs="Courier New" w:eastAsia="Courier New" w:hAnsi="Courier New"/>
        </w:rPr>
        <w:t xml:space="preserve">tier2_probes.py</w:t>
      </w:r>
      <w:r>
        <w:t xml:space="preserve">, which checks SPEC Section 2's 20% cap using a </w:t>
      </w:r>
      <w:r>
        <w:rPr>
          <w:i/>
          <w:iCs/>
        </w:rPr>
        <w:t xml:space="preserve">relative</w:t>
      </w:r>
      <w:r>
        <w:t xml:space="preserve">-margin formula rather than the case's own percentage-point framing) mechanically flags a cap breach on both dials at both flex directions, because B (the training cost as a percent of profit) is itself a small percentage and the relative formula amplifies any change to it. This is disclosed, not eliminated, in </w:t>
      </w:r>
      <w:r>
        <w:rPr>
          <w:rFonts w:ascii="Courier New" w:cs="Courier New" w:eastAsia="Courier New" w:hAnsi="Courier New"/>
        </w:rPr>
        <w:t xml:space="preserve">case.json.sensitivity_disclosure[]</w:t>
      </w:r>
      <w:r>
        <w:t xml:space="preserve"> as a Category F (irreducible forecast uncertainty) finding on both </w:t>
      </w:r>
      <w:r>
        <w:rPr>
          <w:rFonts w:ascii="Courier New" w:cs="Courier New" w:eastAsia="Courier New" w:hAnsi="Courier New"/>
        </w:rPr>
        <w:t xml:space="preserve">trained_physician_count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profit_window_years</w:t>
      </w:r>
      <w:r>
        <w:t xml:space="preserve">: neither how many physicians would actually enroll nor which future year counts as "typical" is knowable in advance, and B is bounded above by the case's own given data (1,852 physicians, 6 years of history) — no honest retune of either dial raises B enough to satisfy the relative-margin formula. This is a real, disclosed property of the case, not a claim that the decision is easy: the </w:t>
      </w:r>
      <w:r>
        <w:rPr>
          <w:i/>
          <w:iCs/>
        </w:rPr>
        <w:t xml:space="preserve">evidentiary</w:t>
      </w:r>
      <w:r>
        <w:t xml:space="preserve"> question (does the 26.6% gap mean what a Hero thinks it means, given the missing-data twist) is where the case's real difficulty lives, not the cost-vs-benefit arithmetic. See </w:t>
      </w:r>
      <w:r>
        <w:rPr>
          <w:rFonts w:ascii="Courier New" w:cs="Courier New" w:eastAsia="Courier New" w:hAnsi="Courier New"/>
        </w:rPr>
        <w:t xml:space="preserve">case.json.balance.stability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case.json.sensitivity_disclosure[]</w:t>
      </w:r>
      <w:r>
        <w:t xml:space="preserve"> for the full figures.</w:t>
      </w:r>
    </w:p>
    <w:p>
      <w:r>
        <w:t xml:space="preserve">This case also touches a real, contested-adjacent claim worth naming for a facilitator: the Overview's premise (do physicians treat heavier patients differently) is a real, live topic in public health research, not settled science with one universally agreed effect size. Appendix A is explicit that this case's dataset comes from one study design (a migraine-visit vignette); a Hero should not walk away believing this proves a universal clinical bias beyond what the data actually shows.</w:t>
      </w:r>
    </w:p>
    <w:p>
      <w:pPr>
        <w:pStyle w:val="Heading2"/>
        <w:spacing w:after="120" w:before="240"/>
      </w:pPr>
      <w:r>
        <w:t xml:space="preserve">Cohort Bands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DDDD" w:val="clear"/>
          </w:tcPr>
          <w:p>
            <w:r>
              <w:t xml:space="preserve">Band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Typical size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What changes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Full (12–20)</w:t>
            </w:r>
          </w:p>
        </w:tc>
        <w:tc>
          <w:tcPr>
            <w:tcW w:type="dxa" w:w="3000"/>
          </w:tcPr>
          <w:p>
            <w:r>
              <w:t xml:space="preserve">Anchors 2–3 run as written, with real debate over what "discriminate" means operationally before any calculator comes out; the Twist reveal (15:00) produces an audible reaction once the room realizes the missing-13 breakdown isn't even across groups.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Compressed (6–11)</w:t>
            </w:r>
          </w:p>
        </w:tc>
        <w:tc>
          <w:tcPr>
            <w:tcW w:type="dxa" w:w="3000"/>
          </w:tcPr>
          <w:p>
            <w:r>
              <w:t xml:space="preserve">Anchors 2–3 combine into a single pass; D1–D2's six charts (3 histograms + 3 box plots) are split so each pair only builds 2 of the 6 before comparing as a full group, rather than every Hero building all six.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1:1 / pair (1–2)</w:t>
            </w:r>
          </w:p>
        </w:tc>
        <w:tc>
          <w:tcPr>
            <w:tcW w:type="dxa" w:w="3000"/>
          </w:tcPr>
          <w:p>
            <w:r>
              <w:t xml:space="preserve">No vote to take at Anchor 1 — the Hero states an initial position instead of a cold-call. The guide plays devil's advocate directly, specifically defending whichever side the Hero did </w:t>
            </w:r>
            <w:r>
              <w:rPr>
                <w:i/>
                <w:iCs/>
              </w:rPr>
              <w:t xml:space="preserve">not</w:t>
            </w:r>
            <w:r>
              <w:t xml:space="preserve"> pick, to see whether the Hero catches the complaint-count trap or the missing-data twist unprompted.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2026-08-18T05:16:27.475Z</dcterms:created>
  <dcterms:modified xsi:type="dcterms:W3CDTF">2026-08-18T05:16:27.475Z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