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Facilitator Guide — Caribbean Internet Café</w:t>
      </w:r>
    </w:p>
    <w:p>
      <w:pPr>
        <w:spacing w:after="40"/>
        <w:jc w:val="center"/>
      </w:pPr>
      <w:r>
        <w:rPr>
          <w:i/>
          <w:iCs/>
          <w:color w:val="555555"/>
          <w:sz w:val="22"/>
          <w:szCs w:val="22"/>
        </w:rPr>
        <w:t xml:space="preserve">MS/HS | Heroes Academy | Anchor-ladder format</w:t>
      </w:r>
    </w:p>
    <w:p>
      <w:pPr>
        <w:spacing w:after="320"/>
        <w:jc w:val="center"/>
      </w:pPr>
      <w:r>
        <w:rPr>
          <w:b/>
          <w:bCs/>
          <w:color w:val="AA0000"/>
          <w:sz w:val="20"/>
          <w:szCs w:val="20"/>
        </w:rPr>
        <w:t xml:space="preserve">FACILITATOR ONLY — contains the trap, the balance arguments, and the twist. Do not distribute to students.</w:t>
      </w:r>
    </w:p>
    <w:p>
      <w:pPr>
        <w:pBdr>
          <w:bottom w:val="single" w:color="999999" w:sz="6" w:space="4"/>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60"/>
              <w:left w:type="dxa" w:w="200"/>
              <w:bottom w:type="dxa" w:w="160"/>
              <w:right w:type="dxa" w:w="200"/>
            </w:tcMar>
          </w:tcPr>
          <w:p>
            <w:pPr>
              <w:spacing w:after="120"/>
            </w:pPr>
            <w:r>
              <w:rPr>
                <w:b/>
                <w:bCs/>
              </w:rPr>
              <w:t xml:space="preserve">SPEC §6 Sensitivity / Metric-Scope Disclosure — read before running this discussion</w:t>
            </w:r>
          </w:p>
          <w:p>
            <w:pPr>
              <w:spacing w:after="160"/>
            </w:pPr>
            <w:r>
              <w:t xml:space="preserve">Assumption-sensitivity: the case's one genuine load-bearing assumption — Option A's 25% financing rate (Appendix F, MA1) — is the dial in this case's whole company-level comparison. Flexed ±50%, MA1 never flips the winner but breaches the SPEC §2 20% cap at +50% (margin widens to 31.3%); this is disclosed in case.json.sensitivity_disclosure[] (category X — the real 1996 lender quote is not recoverable). weeks_per_month (MA3) and staff_hours_per_week (MA4) both stay well inside the cap across the full ±50% sweep.</w:t>
            </w:r>
          </w:p>
          <w:p>
            <w:pPr>
              <w:spacing w:after="160"/>
            </w:pPr>
            <w:r>
              <w:t xml:space="preserve">Metric-scope: case.json.primary_metric is CIC's company-level cash flow, before any split of profit between David and JTL — margin 14.0% in Option B's favor. A separate, equally real comparison — David's personal take-home once Option B's 50% ownership split is applied — is NOT the graded metric, uses no extra assumption, and swings the OPPOSITE way by roughly 75% in Option A's favor. Facilitators must be explicit about which comparison is meant before defending any "Option B wins" or "the margin is 14%" statement. See "The trap, named explicitly" and Socratic Question 6 below.</w:t>
            </w:r>
          </w:p>
        </w:tc>
      </w:tr>
    </w:tbl>
    <w:p>
      <w:pPr>
        <w:spacing w:after="160"/>
      </w:pPr>
      <w:r>
        <w:t xml:space="preserve"/>
      </w:r>
    </w:p>
    <w:p>
      <w:pPr>
        <w:spacing w:after="160"/>
      </w:pPr>
      <w:r>
        <w:t xml:space="preserve">Legacy source: source/Y2/Session 7/Caribbean Internet Cafe/ — a real, published Ivey Business School teaching case (998B02, "Caribbean Internet Café," Michelle Theobalds, supervised by Professor Murray Bryant, Richard Ivey School of Business, copyright 1998; the version on file is dated 2009-09-09) plus a house-authored discussion framework already built to a five-anchor structure with two twists of its own. This guide keeps that framework's real pedagogical content — the board prompts, the "what business is David really in?" line of inquiry, the "the future arrives early" twist — and migrates it into the current 11-anchor ladder with a fully quantified version of that same twist.</w:t>
      </w:r>
    </w:p>
    <w:p>
      <w:pPr>
        <w:pStyle w:val="Heading1"/>
        <w:spacing w:after="160" w:before="320"/>
      </w:pPr>
      <w:r>
        <w:rPr>
          <w:b/>
          <w:bCs/>
        </w:rPr>
        <w:t xml:space="preserve">Intro</w:t>
      </w:r>
    </w:p>
    <w:p>
      <w:pPr>
        <w:spacing w:after="160"/>
      </w:pPr>
      <w:r>
        <w:t xml:space="preserve">Write on the board: "Would you rather own 100% of a struggling dream, or 50% of a thriving one?" Don't open with numbers. Open with the moment: two pieces of paper on a kitchen table, one handwritten, one with someone else's letterhead.</w:t>
      </w:r>
    </w:p>
    <w:p>
      <w:pPr>
        <w:pStyle w:val="Heading1"/>
        <w:spacing w:after="160" w:before="320"/>
      </w:pPr>
      <w:r>
        <w:rPr>
          <w:b/>
          <w:bCs/>
        </w:rPr>
        <w:t xml:space="preserve">Launch</w:t>
      </w:r>
    </w:p>
    <w:p>
      <w:pPr>
        <w:spacing w:after="160"/>
      </w:pPr>
      <w:r>
        <w:t xml:space="preserve">Read the Overview aloud. Optional: a simple visual of 1990s Jamaica, a period Internet café, a Pentium-era computer, a dial-up loading screen — texture only, nothing load-bearing. Stop exactly where the case does: David picking up his pen, no decision made yet.</w:t>
      </w:r>
    </w:p>
    <w:p>
      <w:pPr>
        <w:pStyle w:val="Heading2"/>
        <w:spacing w:after="120" w:before="240"/>
      </w:pPr>
      <w:r>
        <w:rPr>
          <w:b/>
          <w:bCs/>
        </w:rPr>
        <w:t xml:space="preserve">Anchor 1 — Take a Stand and Vote</w:t>
      </w:r>
    </w:p>
    <w:p>
      <w:pPr>
        <w:spacing w:after="160"/>
      </w:pPr>
      <w:r>
        <w:t xml:space="preserve">Move to one side of the room for Option A (go alone), the other for Option B (accept JTL). No reasoning yet. Then ask: why did you move there? What scared you about the other side? Write the split on the board and let the disagreement sit.</w:t>
      </w:r>
    </w:p>
    <w:p>
      <w:pPr>
        <w:pStyle w:val="Heading2"/>
        <w:spacing w:after="120" w:before="240"/>
      </w:pPr>
      <w:r>
        <w:rPr>
          <w:b/>
          <w:bCs/>
        </w:rPr>
        <w:t xml:space="preserve">Anchor 2 — What Is the Problem We're Solving?</w:t>
      </w:r>
    </w:p>
    <w:p>
      <w:pPr>
        <w:spacing w:after="160"/>
      </w:pPr>
      <w:r>
        <w:t xml:space="preserve">Point to three words on the board: INTERNET ACCESS · CAFÉ · WINE LOUNGE. "If you had to say CIC is ONE of these businesses, which is it?" Force a second physical move. Then: which part actually generates the money? Which part is the bait? What happens to this business if home Internet access gets cheap someday? Let the room sit in genuine uncertainty here — there is no clean answer yet, and that is correct.</w:t>
      </w:r>
    </w:p>
    <w:p>
      <w:pPr>
        <w:pStyle w:val="Heading2"/>
        <w:spacing w:after="120" w:before="240"/>
      </w:pPr>
      <w:r>
        <w:rPr>
          <w:b/>
          <w:bCs/>
        </w:rPr>
        <w:t xml:space="preserve">Anchor 3 — What Is the Process?</w:t>
      </w:r>
    </w:p>
    <w:p>
      <w:pPr>
        <w:spacing w:after="160"/>
      </w:pPr>
      <w:r>
        <w:t xml:space="preserve">"If we had every number in this case in front of us, how would we actually decide between A and B?" Push the room toward naming a real comparison (a cost, a cash flow, a break-even point) rather than a vibe. List candidate variables on the board: customer traffic, rent, staff wages, computer-hour cost, loan interest, ownership share. Force a rank of the five that matter most — no ties. Then re-ask Anchor 2's question: given this process, are we even asking the right thing?</w:t>
      </w:r>
    </w:p>
    <w:p>
      <w:pPr>
        <w:pStyle w:val="Heading2"/>
        <w:spacing w:after="120" w:before="240"/>
      </w:pPr>
      <w:r>
        <w:rPr>
          <w:b/>
          <w:bCs/>
        </w:rPr>
        <w:t xml:space="preserve">Anchor 4 — What Don't We Know?</w:t>
      </w:r>
    </w:p>
    <w:p>
      <w:pPr>
        <w:spacing w:after="160"/>
      </w:pPr>
      <w:r>
        <w:t xml:space="preserve">"What are we assuming, and which assumptions actually matter?" Surface, without resolving yet: what interest rate would David actually pay on his own, going it alone? (The case never quotes one directly — Appendix F's MA1 is exactly this gap.) How many customers will really walk in the door? Bank these; the Data Deep Dive and the Twist both answer pieces of them.</w:t>
      </w:r>
    </w:p>
    <w:p>
      <w:pPr>
        <w:pStyle w:val="Heading2"/>
        <w:spacing w:after="120" w:before="240"/>
      </w:pPr>
      <w:r>
        <w:rPr>
          <w:b/>
          <w:bCs/>
        </w:rPr>
        <w:t xml:space="preserve">Data Deep Dive</w:t>
      </w:r>
    </w:p>
    <w:p>
      <w:pPr>
        <w:spacing w:after="160"/>
      </w:pPr>
      <w:r>
        <w:t xml:space="preserve">Now, and only now, hand out Appendices B–E. Let Heroes build D1 (the PSI table) and D2 (the financing-cost comparison) before they touch D3/D4's break-even math. Watch for the trap forming in real time: someone will compare 10% to 25% and declare the case solved. Let it happen.</w:t>
      </w:r>
    </w:p>
    <w:p>
      <w:pPr>
        <w:pStyle w:val="Heading1"/>
        <w:spacing w:after="160" w:before="320"/>
      </w:pPr>
      <w:r>
        <w:rPr>
          <w:b/>
          <w:bCs/>
        </w:rPr>
        <w:t xml:space="preserve">Twist</w:t>
      </w:r>
    </w:p>
    <w:p>
      <w:pPr>
        <w:spacing w:after="160"/>
      </w:pPr>
      <w:r>
        <w:rPr>
          <w:b/>
          <w:bCs/>
        </w:rPr>
        <w:t xml:space="preserve">Drop this at roughly the 15-minute mark, slowly: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60"/>
              <w:left w:type="dxa" w:w="200"/>
              <w:bottom w:type="dxa" w:w="160"/>
              <w:right w:type="dxa" w:w="200"/>
            </w:tcMar>
          </w:tcPr>
          <w:p>
            <w:pPr>
              <w:spacing w:after="160"/>
            </w:pPr>
            <w:r>
              <w:t xml:space="preserve">"It's now three years later. Home computer prices have fallen further and faster than anyone in 1996 predicted, JTL itself is starting to sell cheap home Internet packages, and a second Internet café has opened across town. This isn't a hypothetical — it's exactly what happened to Internet cafés worldwide as home broadband spread in the years that followed. If Appendix E's realistic scenario was ever going to happen, this is roughly when it stops holding — usage doesn't grow from here, it erodes toward pessimistic and below.</w:t>
            </w:r>
          </w:p>
          <w:p>
            <w:pPr>
              <w:spacing w:after="160"/>
            </w:pPr>
            <w:r>
              <w:t xml:space="preserve">One more thing, and this is the part neither of you noticed while you were building your D1 table: add up exactly how much money each option actually raises against how much it actually needs. Option B raises David's $500,000, plus JTL's $500,000 equity, plus JTL's $1,250,000 loan — a combined $2,250,000 against a roughly $1,573,000 need. Option A raises David's $500,000 plus just enough borrowed money to cover the rest — exactly the amount needed, no more."</w:t>
            </w:r>
          </w:p>
        </w:tc>
      </w:tr>
    </w:tbl>
    <w:p>
      <w:pPr>
        <w:spacing w:after="160"/>
      </w:pPr>
      <w:r>
        <w:t xml:space="preserve"/>
      </w:r>
    </w:p>
    <w:p>
      <w:pPr>
        <w:spacing w:after="160"/>
      </w:pPr>
      <w:r>
        <w:rPr>
          <w:b/>
          <w:bCs/>
        </w:rPr>
        <w:t xml:space="preserve">What this invalidates: </w:t>
      </w:r>
      <w:r>
        <w:t xml:space="preserve">the popular "A is obviously the safer, more prudent choice — no partner, no dilution, no risk of losing control" position. It doesn't make B "obviously correct" either — B still costs David half the company forever, even in the good years. But it reframes the whole comparison from which option makes more money in a good year to which option can survive a bad one — a question the realistic-scenario cash-flow numbers alone never surface.</w:t>
      </w:r>
    </w:p>
    <w:p>
      <w:pPr>
        <w:spacing w:after="160"/>
      </w:pPr>
      <w:r>
        <w:rPr>
          <w:b/>
          <w:bCs/>
        </w:rPr>
        <w:t xml:space="preserve">The follow-up (the whole point): </w:t>
      </w:r>
      <w:r>
        <w:t xml:space="preserve">"What just broke in your model? Were you wrong, or just missing information?" Push the room to name that D1–D4's math was never wrong — it's still true, every month, under Appendix E's realistic scenario — but it silently assumed the realistic scenario holds indefinitely and that neither option ever needs a cash cushion. Both assumptions were always implicit, never stated, and the Twist is what makes a room notice.</w:t>
      </w:r>
    </w:p>
    <w:p>
      <w:pPr>
        <w:spacing w:after="160"/>
      </w:pPr>
      <w:r>
        <w:t xml:space="preserve">Mechanically confirmed via sensitivity_model.py: evaluate(PARAMS) = {A: 85045.83, B: 96983.33} → evaluate_twist(PARAMS) = {A: -130954.17, B: -119016.67} — both options go cash-flow-negative post-twist. The "amount raised vs. needed" fact is arithmetic straight off Appendix B/D's own numbers and does not depend on Appendix F's MA1–MA4 assumptions at all — confirmed unchanged across the full ±50% flex range on all three FLEX dials.</w:t>
      </w:r>
    </w:p>
    <w:p>
      <w:pPr>
        <w:pStyle w:val="Heading1"/>
        <w:spacing w:after="160" w:before="320"/>
      </w:pPr>
      <w:r>
        <w:rPr>
          <w:b/>
          <w:bCs/>
        </w:rPr>
        <w:t xml:space="preserve">Close (10 minutes left)</w:t>
      </w:r>
    </w:p>
    <w:p>
      <w:pPr>
        <w:spacing w:after="160"/>
      </w:pPr>
      <w:r>
        <w:t xml:space="preserve">VOTE AGAIN. "Did we ask the right question the first time? What math was new to you, and how did you attack it?" Ask specifically who moved because of the interest-rate trap (D2 alone) versus who moved because of the Twist's cushion arithmetic — two different kinds of "wrong," worth naming separately. Final question to let sit before closing: "Is entrepreneurship more about having a brilliant idea, or surviving uncertainty long enough for the idea to work?"</w:t>
      </w:r>
    </w:p>
    <w:p>
      <w:pPr>
        <w:pStyle w:val="Heading1"/>
        <w:spacing w:after="160" w:before="320"/>
      </w:pPr>
      <w:r>
        <w:rPr>
          <w:b/>
          <w:bCs/>
        </w:rPr>
        <w:t xml:space="preserve">Lessons Learned</w:t>
      </w:r>
    </w:p>
    <w:p>
      <w:pPr>
        <w:spacing w:after="160"/>
      </w:pPr>
      <w:r>
        <w:t xml:space="preserve">(Preserved and extended from the legacy discussion framework.) The interest-rate comparison (10% vs. 25%) is real, but it is one line in a much larger monthly cost structure, and by itself it answers the wrong question — which option is cheaper, not which option survives. A Hero who stops at the interest rates has done real, correct arithmetic and still missed the case's actual lesson: a financing decision made under a single-year, single-scenario lens looks completely different once you ask what happens if the business's demand curve is temporary rather than permanent — a question every real venture eventually has to answer, whether the "twist" that forces it is a market shift, a competitor, or the discovery that money raised was never really enough.</w:t>
      </w:r>
    </w:p>
    <w:p>
      <w:pPr>
        <w:pStyle w:val="Heading1"/>
        <w:spacing w:after="160" w:before="320"/>
      </w:pPr>
      <w:r>
        <w:rPr>
          <w:b/>
          <w:bCs/>
        </w:rPr>
        <w:t xml:space="preserve">Run of Show — The Two Arguments and the Margin</w:t>
      </w:r>
    </w:p>
    <w:p>
      <w:pPr>
        <w:pStyle w:val="Heading2"/>
        <w:spacing w:after="120" w:before="240"/>
      </w:pPr>
      <w:r>
        <w:rPr>
          <w:b/>
          <w:bCs/>
        </w:rPr>
        <w:t xml:space="preserve">Argument for A (go alone)</w:t>
      </w:r>
    </w:p>
    <w:p>
      <w:pPr>
        <w:spacing w:after="160"/>
      </w:pPr>
      <w:r>
        <w:t xml:space="preserve">Every dollar of CIC's profit is David's alone: on Appendix E's realistic scenario David's personal monthly take-home under Option A is CIC's full net cash flow, a higher JA$85,045.83, with no partner, no vote-sharing, and no long-term dependency on JTL beyond the Internet link itself. The 25% assumed borrowing rate costs JA$22,354.17/month — real and expensive, yet still a fixed, known cost. Applied against Option B's actual 50% ownership split, Option A's JA$85,045.83 is roughly 75% higher than the JA$48,491.67 David personally keeps under Option B (50% of JA$96,983.33) — the single largest, most decisive number in this case on a pure personal-take-home basis.</w:t>
      </w:r>
    </w:p>
    <w:p>
      <w:pPr>
        <w:pStyle w:val="Heading2"/>
        <w:spacing w:after="120" w:before="240"/>
      </w:pPr>
      <w:r>
        <w:rPr>
          <w:b/>
          <w:bCs/>
        </w:rPr>
        <w:t xml:space="preserve">Argument for B (accept JTL)</w:t>
      </w:r>
    </w:p>
    <w:p>
      <w:pPr>
        <w:spacing w:after="160"/>
      </w:pPr>
      <w:r>
        <w:t xml:space="preserve">Halving the effective interest rate on a much larger loan saves real money every month: JA$10,416.67/month versus Option A's JA$22,354.17, an JA$11,937.50/month saving to CIC as a company. That financing is already confirmed rather than requiring David to convince an unnamed lender to say yes at all, and JTL's combined JA$2,250,000 raised against a JA$1,573,000 need leaves CIC a real JA$677,000 working-capital cushion — versus Option A's JA$0 cushion. Argument B does not win on David's personal monthly take-home once the 50% split is applied — its real case rests on certainty of funding and survivability under a bad year, not on out-earning Option A month to month.</w:t>
      </w:r>
    </w:p>
    <w:p>
      <w:pPr>
        <w:pStyle w:val="Heading2"/>
        <w:spacing w:after="120" w:before="240"/>
      </w:pPr>
      <w:r>
        <w:rPr>
          <w:b/>
          <w:bCs/>
        </w:rPr>
        <w:t xml:space="preserve">The margin (now a real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760"/>
      </w:tblGrid>
      <w:tr>
        <w:trPr>
          <w:tblHeader/>
        </w:trPr>
        <w:tc>
          <w:tcPr>
            <w:tcW w:type="dxa" w:w="3800"/>
            <w:shd w:fill="D9E2F3" w:val="clear"/>
            <w:tcMar>
              <w:top w:type="dxa" w:w="80"/>
              <w:left w:type="dxa" w:w="100"/>
              <w:bottom w:type="dxa" w:w="80"/>
              <w:right w:type="dxa" w:w="100"/>
            </w:tcMar>
          </w:tcPr>
          <w:p>
            <w:r>
              <w:rPr>
                <w:b/>
                <w:bCs/>
              </w:rPr>
              <w:t xml:space="preserve">Metric</w:t>
            </w:r>
          </w:p>
        </w:tc>
        <w:tc>
          <w:tcPr>
            <w:tcW w:type="dxa" w:w="1900"/>
            <w:shd w:fill="D9E2F3" w:val="clear"/>
            <w:tcMar>
              <w:top w:type="dxa" w:w="80"/>
              <w:left w:type="dxa" w:w="100"/>
              <w:bottom w:type="dxa" w:w="80"/>
              <w:right w:type="dxa" w:w="100"/>
            </w:tcMar>
          </w:tcPr>
          <w:p>
            <w:r>
              <w:rPr>
                <w:b/>
                <w:bCs/>
              </w:rPr>
              <w:t xml:space="preserve">Option A</w:t>
            </w:r>
          </w:p>
        </w:tc>
        <w:tc>
          <w:tcPr>
            <w:tcW w:type="dxa" w:w="1900"/>
            <w:shd w:fill="D9E2F3" w:val="clear"/>
            <w:tcMar>
              <w:top w:type="dxa" w:w="80"/>
              <w:left w:type="dxa" w:w="100"/>
              <w:bottom w:type="dxa" w:w="80"/>
              <w:right w:type="dxa" w:w="100"/>
            </w:tcMar>
          </w:tcPr>
          <w:p>
            <w:r>
              <w:rPr>
                <w:b/>
                <w:bCs/>
              </w:rPr>
              <w:t xml:space="preserve">Option B</w:t>
            </w:r>
          </w:p>
        </w:tc>
        <w:tc>
          <w:tcPr>
            <w:tcW w:type="dxa" w:w="1760"/>
            <w:shd w:fill="D9E2F3" w:val="clear"/>
            <w:tcMar>
              <w:top w:type="dxa" w:w="80"/>
              <w:left w:type="dxa" w:w="100"/>
              <w:bottom w:type="dxa" w:w="80"/>
              <w:right w:type="dxa" w:w="100"/>
            </w:tcMar>
          </w:tcPr>
          <w:p>
            <w:r>
              <w:rPr>
                <w:b/>
                <w:bCs/>
              </w:rPr>
              <w:t xml:space="preserve">Margin</w:t>
            </w:r>
          </w:p>
        </w:tc>
      </w:tr>
      <w:tr>
        <w:tc>
          <w:tcPr>
            <w:tcW w:type="dxa" w:w="3800"/>
            <w:tcMar>
              <w:top w:type="dxa" w:w="80"/>
              <w:left w:type="dxa" w:w="100"/>
              <w:bottom w:type="dxa" w:w="80"/>
              <w:right w:type="dxa" w:w="100"/>
            </w:tcMar>
          </w:tcPr>
          <w:p>
            <w:r>
              <w:rPr>
                <w:b w:val="false"/>
                <w:bCs w:val="false"/>
              </w:rPr>
              <w:t xml:space="preserve">Company-level monthly cash flow (graded primary_metric, realistic scenario)</w:t>
            </w:r>
          </w:p>
        </w:tc>
        <w:tc>
          <w:tcPr>
            <w:tcW w:type="dxa" w:w="1900"/>
            <w:tcMar>
              <w:top w:type="dxa" w:w="80"/>
              <w:left w:type="dxa" w:w="100"/>
              <w:bottom w:type="dxa" w:w="80"/>
              <w:right w:type="dxa" w:w="100"/>
            </w:tcMar>
          </w:tcPr>
          <w:p>
            <w:r>
              <w:rPr>
                <w:b w:val="false"/>
                <w:bCs w:val="false"/>
              </w:rPr>
              <w:t xml:space="preserve">JA$85,045.83</w:t>
            </w:r>
          </w:p>
        </w:tc>
        <w:tc>
          <w:tcPr>
            <w:tcW w:type="dxa" w:w="1900"/>
            <w:tcMar>
              <w:top w:type="dxa" w:w="80"/>
              <w:left w:type="dxa" w:w="100"/>
              <w:bottom w:type="dxa" w:w="80"/>
              <w:right w:type="dxa" w:w="100"/>
            </w:tcMar>
          </w:tcPr>
          <w:p>
            <w:r>
              <w:rPr>
                <w:b w:val="false"/>
                <w:bCs w:val="false"/>
              </w:rPr>
              <w:t xml:space="preserve">JA$96,983.33</w:t>
            </w:r>
          </w:p>
        </w:tc>
        <w:tc>
          <w:tcPr>
            <w:tcW w:type="dxa" w:w="1760"/>
            <w:tcMar>
              <w:top w:type="dxa" w:w="80"/>
              <w:left w:type="dxa" w:w="100"/>
              <w:bottom w:type="dxa" w:w="80"/>
              <w:right w:type="dxa" w:w="100"/>
            </w:tcMar>
          </w:tcPr>
          <w:p>
            <w:r>
              <w:rPr>
                <w:b w:val="false"/>
                <w:bCs w:val="false"/>
              </w:rPr>
              <w:t xml:space="preserve">B ahead by 14.0%</w:t>
            </w:r>
          </w:p>
        </w:tc>
      </w:tr>
      <w:tr>
        <w:tc>
          <w:tcPr>
            <w:tcW w:type="dxa" w:w="3800"/>
            <w:tcMar>
              <w:top w:type="dxa" w:w="80"/>
              <w:left w:type="dxa" w:w="100"/>
              <w:bottom w:type="dxa" w:w="80"/>
              <w:right w:type="dxa" w:w="100"/>
            </w:tcMar>
          </w:tcPr>
          <w:p>
            <w:r>
              <w:rPr>
                <w:b w:val="false"/>
                <w:bCs w:val="false"/>
              </w:rPr>
              <w:t xml:space="preserve">David's personal take-home (post-ownership-split, NOT graded)</w:t>
            </w:r>
          </w:p>
        </w:tc>
        <w:tc>
          <w:tcPr>
            <w:tcW w:type="dxa" w:w="1900"/>
            <w:tcMar>
              <w:top w:type="dxa" w:w="80"/>
              <w:left w:type="dxa" w:w="100"/>
              <w:bottom w:type="dxa" w:w="80"/>
              <w:right w:type="dxa" w:w="100"/>
            </w:tcMar>
          </w:tcPr>
          <w:p>
            <w:r>
              <w:rPr>
                <w:b w:val="false"/>
                <w:bCs w:val="false"/>
              </w:rPr>
              <w:t xml:space="preserve">JA$85,045.83</w:t>
            </w:r>
          </w:p>
        </w:tc>
        <w:tc>
          <w:tcPr>
            <w:tcW w:type="dxa" w:w="1900"/>
            <w:tcMar>
              <w:top w:type="dxa" w:w="80"/>
              <w:left w:type="dxa" w:w="100"/>
              <w:bottom w:type="dxa" w:w="80"/>
              <w:right w:type="dxa" w:w="100"/>
            </w:tcMar>
          </w:tcPr>
          <w:p>
            <w:r>
              <w:rPr>
                <w:b w:val="false"/>
                <w:bCs w:val="false"/>
              </w:rPr>
              <w:t xml:space="preserve">JA$48,491.67</w:t>
            </w:r>
          </w:p>
        </w:tc>
        <w:tc>
          <w:tcPr>
            <w:tcW w:type="dxa" w:w="1760"/>
            <w:tcMar>
              <w:top w:type="dxa" w:w="80"/>
              <w:left w:type="dxa" w:w="100"/>
              <w:bottom w:type="dxa" w:w="80"/>
              <w:right w:type="dxa" w:w="100"/>
            </w:tcMar>
          </w:tcPr>
          <w:p>
            <w:r>
              <w:rPr>
                <w:b w:val="false"/>
                <w:bCs w:val="false"/>
              </w:rPr>
              <w:t xml:space="preserve">A ahead by ~75.4%</w:t>
            </w:r>
          </w:p>
        </w:tc>
      </w:tr>
      <w:tr>
        <w:tc>
          <w:tcPr>
            <w:tcW w:type="dxa" w:w="3800"/>
            <w:tcMar>
              <w:top w:type="dxa" w:w="80"/>
              <w:left w:type="dxa" w:w="100"/>
              <w:bottom w:type="dxa" w:w="80"/>
              <w:right w:type="dxa" w:w="100"/>
            </w:tcMar>
          </w:tcPr>
          <w:p>
            <w:r>
              <w:rPr>
                <w:b w:val="false"/>
                <w:bCs w:val="false"/>
              </w:rPr>
              <w:t xml:space="preserve">Capital raised vs. needed (JA$1,573,000 need)</w:t>
            </w:r>
          </w:p>
        </w:tc>
        <w:tc>
          <w:tcPr>
            <w:tcW w:type="dxa" w:w="1900"/>
            <w:tcMar>
              <w:top w:type="dxa" w:w="80"/>
              <w:left w:type="dxa" w:w="100"/>
              <w:bottom w:type="dxa" w:w="80"/>
              <w:right w:type="dxa" w:w="100"/>
            </w:tcMar>
          </w:tcPr>
          <w:p>
            <w:r>
              <w:rPr>
                <w:b w:val="false"/>
                <w:bCs w:val="false"/>
              </w:rPr>
              <w:t xml:space="preserve">JA$1,573,000 (JA$0 cushion)</w:t>
            </w:r>
          </w:p>
        </w:tc>
        <w:tc>
          <w:tcPr>
            <w:tcW w:type="dxa" w:w="1900"/>
            <w:tcMar>
              <w:top w:type="dxa" w:w="80"/>
              <w:left w:type="dxa" w:w="100"/>
              <w:bottom w:type="dxa" w:w="80"/>
              <w:right w:type="dxa" w:w="100"/>
            </w:tcMar>
          </w:tcPr>
          <w:p>
            <w:r>
              <w:rPr>
                <w:b w:val="false"/>
                <w:bCs w:val="false"/>
              </w:rPr>
              <w:t xml:space="preserve">JA$2,250,000 (JA$677,000 cushion)</w:t>
            </w:r>
          </w:p>
        </w:tc>
        <w:tc>
          <w:tcPr>
            <w:tcW w:type="dxa" w:w="1760"/>
            <w:tcMar>
              <w:top w:type="dxa" w:w="80"/>
              <w:left w:type="dxa" w:w="100"/>
              <w:bottom w:type="dxa" w:w="80"/>
              <w:right w:type="dxa" w:w="100"/>
            </w:tcMar>
          </w:tcPr>
          <w:p>
            <w:r>
              <w:rPr>
                <w:b w:val="false"/>
                <w:bCs w:val="false"/>
              </w:rPr>
              <w:t xml:space="preserve">B has the only cushion</w:t>
            </w:r>
          </w:p>
        </w:tc>
      </w:tr>
      <w:tr>
        <w:tc>
          <w:tcPr>
            <w:tcW w:type="dxa" w:w="3800"/>
            <w:tcMar>
              <w:top w:type="dxa" w:w="80"/>
              <w:left w:type="dxa" w:w="100"/>
              <w:bottom w:type="dxa" w:w="80"/>
              <w:right w:type="dxa" w:w="100"/>
            </w:tcMar>
          </w:tcPr>
          <w:p>
            <w:r>
              <w:rPr>
                <w:b w:val="false"/>
                <w:bCs w:val="false"/>
              </w:rPr>
              <w:t xml:space="preserve">Post-Twist monthly cash flow (both go negative)</w:t>
            </w:r>
          </w:p>
        </w:tc>
        <w:tc>
          <w:tcPr>
            <w:tcW w:type="dxa" w:w="1900"/>
            <w:tcMar>
              <w:top w:type="dxa" w:w="80"/>
              <w:left w:type="dxa" w:w="100"/>
              <w:bottom w:type="dxa" w:w="80"/>
              <w:right w:type="dxa" w:w="100"/>
            </w:tcMar>
          </w:tcPr>
          <w:p>
            <w:r>
              <w:rPr>
                <w:b w:val="false"/>
                <w:bCs w:val="false"/>
              </w:rPr>
              <w:t xml:space="preserve">-JA$130,954.17</w:t>
            </w:r>
          </w:p>
        </w:tc>
        <w:tc>
          <w:tcPr>
            <w:tcW w:type="dxa" w:w="1900"/>
            <w:tcMar>
              <w:top w:type="dxa" w:w="80"/>
              <w:left w:type="dxa" w:w="100"/>
              <w:bottom w:type="dxa" w:w="80"/>
              <w:right w:type="dxa" w:w="100"/>
            </w:tcMar>
          </w:tcPr>
          <w:p>
            <w:r>
              <w:rPr>
                <w:b w:val="false"/>
                <w:bCs w:val="false"/>
              </w:rPr>
              <w:t xml:space="preserve">-JA$119,016.67</w:t>
            </w:r>
          </w:p>
        </w:tc>
        <w:tc>
          <w:tcPr>
            <w:tcW w:type="dxa" w:w="1760"/>
            <w:tcMar>
              <w:top w:type="dxa" w:w="80"/>
              <w:left w:type="dxa" w:w="100"/>
              <w:bottom w:type="dxa" w:w="80"/>
              <w:right w:type="dxa" w:w="100"/>
            </w:tcMar>
          </w:tcPr>
          <w:p>
            <w:r>
              <w:rPr>
                <w:b w:val="false"/>
                <w:bCs w:val="false"/>
              </w:rPr>
              <w:t xml:space="preserve">B smaller loss</w:t>
            </w:r>
          </w:p>
        </w:tc>
      </w:tr>
    </w:tbl>
    <w:p>
      <w:pPr>
        <w:pStyle w:val="Heading1"/>
        <w:spacing w:after="160" w:before="320"/>
      </w:pPr>
      <w:r>
        <w:rPr>
          <w:b/>
          <w:bCs/>
        </w:rPr>
        <w:t xml:space="preserve">The Five Socratic Questions</w:t>
      </w:r>
    </w:p>
    <w:p>
      <w:pPr>
        <w:pStyle w:val="ListParagraph"/>
        <w:numPr>
          <w:ilvl w:val="0"/>
          <w:numId w:val="2"/>
        </w:numPr>
        <w:spacing w:after="80"/>
      </w:pPr>
      <w:r>
        <w:t xml:space="preserve">Option B's loan rate (10%) is well under half of Option A's assumed rate (25%). If interest rate alone decided this, B wins in a landslide — so why does the case still ask you to build D3 and D4 instead of stopping at D2?</w:t>
      </w:r>
    </w:p>
    <w:p>
      <w:pPr>
        <w:pStyle w:val="ListParagraph"/>
        <w:numPr>
          <w:ilvl w:val="0"/>
          <w:numId w:val="2"/>
        </w:numPr>
        <w:spacing w:after="80"/>
      </w:pPr>
      <w:r>
        <w:t xml:space="preserve">Walk me through exactly how you converted Appendix C's "90 hours per week" staff figure into a monthly dollar cost. What did you have to assume about how many weeks are in a month, and would a different assumption change which option wins?</w:t>
      </w:r>
    </w:p>
    <w:p>
      <w:pPr>
        <w:pStyle w:val="ListParagraph"/>
        <w:numPr>
          <w:ilvl w:val="0"/>
          <w:numId w:val="2"/>
        </w:numPr>
        <w:spacing w:after="80"/>
      </w:pPr>
      <w:r>
        <w:t xml:space="preserve">Appendix E gives you three annual visit-rate scenarios. What arithmetic turns "40% of 20,000 people, 3 visits per year" into a number you can actually compare to a monthly break-even figure?</w:t>
      </w:r>
    </w:p>
    <w:p>
      <w:pPr>
        <w:pStyle w:val="ListParagraph"/>
        <w:numPr>
          <w:ilvl w:val="0"/>
          <w:numId w:val="2"/>
        </w:numPr>
        <w:spacing w:after="80"/>
      </w:pPr>
      <w:r>
        <w:t xml:space="preserve">Under the pessimistic scenario, does either option actually turn a profit in a typical month? If not, what does "better" even mean when comparing two options that both lose money?</w:t>
      </w:r>
    </w:p>
    <w:p>
      <w:pPr>
        <w:pStyle w:val="ListParagraph"/>
        <w:numPr>
          <w:ilvl w:val="0"/>
          <w:numId w:val="2"/>
        </w:numPr>
        <w:spacing w:after="80"/>
      </w:pPr>
      <w:r>
        <w:t xml:space="preserve">The Twist told you Option A raises exactly as much money as it needs, no more. Recompute: how much does Option B raise beyond what it needs? What would have to be true for that gap to matter more than the interest-rate difference you found in D2?</w:t>
      </w:r>
    </w:p>
    <w:p>
      <w:pPr>
        <w:spacing w:after="160"/>
      </w:pPr>
      <w:r>
        <w:rPr>
          <w:i/>
          <w:iCs/>
          <w:sz w:val="20"/>
          <w:szCs w:val="20"/>
        </w:rPr>
        <w:t xml:space="preserve">A sixth question is included in FACILITATOR.md and folded into "The trap" section below, since it is the mechanism of the second trap rather than a standalone prompt:</w:t>
      </w:r>
    </w:p>
    <w:p>
      <w:pPr>
        <w:pStyle w:val="ListParagraph"/>
        <w:numPr>
          <w:ilvl w:val="0"/>
          <w:numId w:val="2"/>
        </w:numPr>
        <w:spacing w:after="80"/>
      </w:pPr>
      <w:r>
        <w:t xml:space="preserve">Your D2–D4 tables compare CIC's costs and cash flow as a company. Option B only exists because JTL now owns 50 percent of CIC. Recompute Option B's monthly cash flow as David's own take-home instead of CIC's — what happens to the comparison, and why didn't D1–D4 ask you to do this?</w:t>
      </w:r>
    </w:p>
    <w:p>
      <w:pPr>
        <w:pStyle w:val="Heading1"/>
        <w:spacing w:after="160" w:before="320"/>
      </w:pPr>
      <w:r>
        <w:rPr>
          <w:b/>
          <w:bCs/>
        </w:rPr>
        <w:t xml:space="preserve">The Trap, Named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60"/>
              <w:left w:type="dxa" w:w="200"/>
              <w:bottom w:type="dxa" w:w="160"/>
              <w:right w:type="dxa" w:w="200"/>
            </w:tcMar>
          </w:tcPr>
          <w:p>
            <w:pPr>
              <w:spacing w:after="160"/>
            </w:pPr>
            <w:r>
              <w:rPr>
                <w:b/>
                <w:bCs/>
              </w:rPr>
              <w:t xml:space="preserve">Trap 1 — the interest-rate shortcut. </w:t>
            </w:r>
            <w:r>
              <w:t xml:space="preserve">A Hero looks at Option B's 10% loan rate next to Option A's assumed 25% rate, concludes Option B is obviously and hugely superior, and stops there. Financing cost is real, but it is a small piece of CIC's full monthly cost structure — rent, staff wages, insurance, marketing, and the cost of the coffee/food/internet CIC actually sells all matter as much or more, and once D3's fixed costs and contribution margin are worked through in full, the gap on realistic-scenario cash flow is real but far smaller than the raw interest-rate comparison suggests. Let the room reach "B wins by a landslide" out loud before D3/D4 corrects the scale of it.</w:t>
            </w:r>
          </w:p>
          <w:p>
            <w:pPr>
              <w:spacing w:after="160"/>
            </w:pPr>
            <w:r>
              <w:rPr>
                <w:b/>
                <w:bCs/>
              </w:rPr>
              <w:t xml:space="preserve">Trap 2 — the company-level finish line (the more dangerous one, because D1–D4 appear to have already solved it). </w:t>
            </w:r>
            <w:r>
              <w:t xml:space="preserve">A room that works all the way through D1–D4 correctly lands on CIC's company-level cash flow: Option A JA$85,045.83/month, Option B JA$96,983.33/month — Option B ahead by 14.0%. A Hero who stops there concludes Option B is modestly, comfortably the better financial choice for David, full stop. It is not. Option B only exists because JTL buys 50 percent of CIC — so David's own personal take-home under Option B is half of CIC's cash flow, JA$48,491.67/month, not the full JA$96,983.33. Compared honestly, David personally keeps JA$85,045.83 under Option A versus JA$48,491.67 under Option B — Option A ahead by roughly 75%, the opposite side from the company-level comparison and well outside SPEC §2's 20% balance cap. This is exactly why case.json.primary_metric is scoped, explicitly, to CIC's cash flow before any split of profit — the case is graded on the company-level comparison D1–D4 actually build, not on David's personal payout, because the source case never specifies a dividend policy for JTL's stake. Argument B's real defense is not that it out-earns Option A for David — on that comparison it clearly does not — but that guaranteed financing and a real JA$677,000 cushion are worth giving up half the company's upside for. Let the room reach "B wins" a second time before this lands.</w:t>
            </w:r>
          </w:p>
        </w:tc>
      </w:tr>
    </w:tbl>
    <w:p>
      <w:pPr>
        <w:pStyle w:val="Heading1"/>
        <w:spacing w:after="160" w:before="320"/>
      </w:pPr>
      <w:r>
        <w:rPr>
          <w:b/>
          <w:bCs/>
        </w:rPr>
        <w:t xml:space="preserve">What a Strong Defense Sounds Like</w:t>
      </w:r>
    </w:p>
    <w:p>
      <w:pPr>
        <w:spacing w:after="160"/>
      </w:pPr>
      <w:r>
        <w:t xml:space="preserve">There is no single right answer here, so do not grade for A vs. B. Grade for whether the Hero names their metric before defending a number. A strong defense states explicitly which comparison it is making — CIC's company-level cash flow, or David's personal take-home once the ownership split is applied — before citing a margin, and does not let "Option B wins" or "Option A wins" stand unqualified. It engages honestly with the side it didn't pick: an Option-B defense that never mentions the 75% personal-take-home swing in Option A's favor is incomplete, and an Option-A defense that never mentions Option B's JA$677,000 cushion or the post-Twist survival picture is equally incomplete. It treats Appendix F's MA1 (the assumed 25% rate) as a real, flagged uncertainty rather than a fact, and can say what happens to its own conclusion if that rate were meaningfully different. Above all, it treats the interest-rate comparison as a starting point, not a finish line — the case's entire arc, from D2 through the Twist, exists to show that the first clean-looking number is rarely the last word.</w:t>
      </w:r>
    </w:p>
    <w:p>
      <w:pPr>
        <w:pStyle w:val="Heading1"/>
        <w:spacing w:after="160" w:before="320"/>
      </w:pPr>
      <w:r>
        <w:rPr>
          <w:b/>
          <w:bCs/>
        </w:rPr>
        <w:t xml:space="preserve">Skills This Case Exercises</w:t>
      </w:r>
    </w:p>
    <w:p>
      <w:pPr>
        <w:spacing w:after="160"/>
      </w:pPr>
      <w:r>
        <w:t xml:space="preserve">Name these explicitly in debrief so Heroes connect the case back to the underlying math, not just the business story:</w:t>
      </w:r>
    </w:p>
    <w:p>
      <w:pPr>
        <w:pStyle w:val="ListParagraph"/>
        <w:numPr>
          <w:ilvl w:val="0"/>
          <w:numId w:val="3"/>
        </w:numPr>
        <w:spacing w:after="80"/>
      </w:pPr>
      <w:r>
        <w:t xml:space="preserve">Percent — converting rates, computing margins, comparing shares</w:t>
      </w:r>
    </w:p>
    <w:p>
      <w:pPr>
        <w:pStyle w:val="ListParagraph"/>
        <w:numPr>
          <w:ilvl w:val="0"/>
          <w:numId w:val="3"/>
        </w:numPr>
        <w:spacing w:after="80"/>
      </w:pPr>
      <w:r>
        <w:t xml:space="preserve">Decimal operations — addition and division across every dollar figure in D1–D4</w:t>
      </w:r>
    </w:p>
    <w:p>
      <w:pPr>
        <w:pStyle w:val="ListParagraph"/>
        <w:numPr>
          <w:ilvl w:val="0"/>
          <w:numId w:val="3"/>
        </w:numPr>
        <w:spacing w:after="80"/>
      </w:pPr>
      <w:r>
        <w:t xml:space="preserve">Division / quotient — unit-cost-to-total conversions, per-visit and per-hour cost breakdowns</w:t>
      </w:r>
    </w:p>
    <w:p>
      <w:pPr>
        <w:pStyle w:val="ListParagraph"/>
        <w:numPr>
          <w:ilvl w:val="0"/>
          <w:numId w:val="3"/>
        </w:numPr>
        <w:spacing w:after="80"/>
      </w:pPr>
      <w:r>
        <w:t xml:space="preserve">Addition / sum — building the PSI total (D1) and fixed-cost total (D3) from many line items</w:t>
      </w:r>
    </w:p>
    <w:p>
      <w:pPr>
        <w:pStyle w:val="ListParagraph"/>
        <w:numPr>
          <w:ilvl w:val="0"/>
          <w:numId w:val="3"/>
        </w:numPr>
        <w:spacing w:after="80"/>
      </w:pPr>
      <w:r>
        <w:t xml:space="preserve">Rounding — PSI rounded to the nearest thousand Jamaican dollars</w:t>
      </w:r>
    </w:p>
    <w:p>
      <w:pPr>
        <w:pStyle w:val="ListParagraph"/>
        <w:numPr>
          <w:ilvl w:val="0"/>
          <w:numId w:val="3"/>
        </w:numPr>
        <w:spacing w:after="80"/>
      </w:pPr>
      <w:r>
        <w:t xml:space="preserve">Bar graph construction — D5's break-even-vs-scenario comparison</w:t>
      </w:r>
    </w:p>
    <w:p>
      <w:pPr>
        <w:pStyle w:val="ListParagraph"/>
        <w:numPr>
          <w:ilvl w:val="0"/>
          <w:numId w:val="3"/>
        </w:numPr>
        <w:spacing w:after="80"/>
      </w:pPr>
      <w:r>
        <w:t xml:space="preserve">Place value and multi-digit addition — six- and seven-figure Jamaican-dollar totals</w:t>
      </w:r>
    </w:p>
    <w:p>
      <w:pPr>
        <w:pStyle w:val="ListParagraph"/>
        <w:numPr>
          <w:ilvl w:val="0"/>
          <w:numId w:val="3"/>
        </w:numPr>
        <w:spacing w:after="80"/>
      </w:pPr>
      <w:r>
        <w:t xml:space="preserve">Unit conversion, including compound units — US$ to JA$ (Appendix B), weekly hours to monthly labor cost, annual interest rate to monthly dollar cost, annual visit rate to monthly visit count</w:t>
      </w:r>
    </w:p>
    <w:p>
      <w:pPr>
        <w:pStyle w:val="ListParagraph"/>
        <w:numPr>
          <w:ilvl w:val="0"/>
          <w:numId w:val="3"/>
        </w:numPr>
        <w:spacing w:after="80"/>
      </w:pPr>
      <w:r>
        <w:t xml:space="preserve">Comparing two or more values — every one of D2, D3, D4, and the Dilemma itself</w:t>
      </w:r>
    </w:p>
    <w:p>
      <w:pPr>
        <w:pStyle w:val="Heading1"/>
        <w:spacing w:after="160" w:before="320"/>
      </w:pPr>
      <w:r>
        <w:rPr>
          <w:b/>
          <w:bCs/>
        </w:rPr>
        <w:t xml:space="preserve">Sensitivity Note</w:t>
      </w:r>
    </w:p>
    <w:p>
      <w:pPr>
        <w:spacing w:after="160"/>
      </w:pPr>
      <w:r>
        <w:t xml:space="preserve">A business-financing case: no illness/death/severe-hardship content requiring a SPEC.md §6 flag, though "David risking his life savings" and "giving up half his company" are real personal-stakes material worth naming gently for a room that includes anyone with family entrepreneurship history.</w:t>
      </w:r>
    </w:p>
    <w:p>
      <w:pPr>
        <w:spacing w:after="160"/>
      </w:pPr>
      <w:r>
        <w:t xml:space="preserve">Assumption-sensitivity disclosure (required reading before this discussion): the case's one genuine load-bearing stated assumption — Option A's 25% financing rate (Appendix F, MA1) — is the dial in this case's whole company-level comparison. See sensitivity_model.py and case.json.balance.stability for the exact ±50% flex results before defending any specific margin number in the room. This case's calendar-conversion assumption (MA3, weeks per month) and its staff-hours reading (MA4, added 2026-08-17 after the Tier 2 P1 cold-solve surfaced the ambiguity) are both much smaller, secondary dials by comparison — neither flips the winner nor breaches the 20% cap across a ±50% sweep.</w:t>
      </w:r>
    </w:p>
    <w:p>
      <w:pPr>
        <w:spacing w:after="160"/>
      </w:pPr>
      <w:r>
        <w:t xml:space="preserve">Metric-scope disclosure (required reading before this discussion, added 2026-08-17 after Tier 2 P2 both-sides-solve): case.json.primary_metric is CIC's company-level cash flow, computed before any split of profit between David and JTL — the comparison D1–D4 actually build, margin 14.0% in Option B's favor. A separate, equally real comparison — David's own personal take-home once Option B's 50% ownership split (Appendix D) is applied — is NOT the graded metric, uses no extra assumption, and swings the other way by roughly 75% in Option A's favor. Facilitators must be explicit in the room about which comparison is meant before defending any "the margin is 14%" or "Option B wins" statement.</w:t>
      </w:r>
    </w:p>
    <w:p>
      <w:pPr>
        <w:pStyle w:val="Heading1"/>
        <w:spacing w:after="160" w:before="320"/>
      </w:pPr>
      <w:r>
        <w:rPr>
          <w:b/>
          <w:bCs/>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Mar>
              <w:top w:type="dxa" w:w="80"/>
              <w:left w:type="dxa" w:w="100"/>
              <w:bottom w:type="dxa" w:w="80"/>
              <w:right w:type="dxa" w:w="100"/>
            </w:tcMar>
          </w:tcPr>
          <w:p>
            <w:r>
              <w:rPr>
                <w:b/>
                <w:bCs/>
              </w:rPr>
              <w:t xml:space="preserve">Time</w:t>
            </w:r>
          </w:p>
        </w:tc>
        <w:tc>
          <w:tcPr>
            <w:tcW w:type="dxa" w:w="7160"/>
            <w:shd w:fill="D9E2F3" w:val="clear"/>
            <w:tcMar>
              <w:top w:type="dxa" w:w="80"/>
              <w:left w:type="dxa" w:w="100"/>
              <w:bottom w:type="dxa" w:w="80"/>
              <w:right w:type="dxa" w:w="100"/>
            </w:tcMar>
          </w:tcPr>
          <w:p>
            <w:r>
              <w:rPr>
                <w:b/>
                <w:bCs/>
              </w:rPr>
              <w:t xml:space="preserve">Move</w:t>
            </w:r>
          </w:p>
        </w:tc>
      </w:tr>
      <w:tr>
        <w:tc>
          <w:tcPr>
            <w:tcW w:type="dxa" w:w="2200"/>
            <w:tcMar>
              <w:top w:type="dxa" w:w="80"/>
              <w:left w:type="dxa" w:w="100"/>
              <w:bottom w:type="dxa" w:w="80"/>
              <w:right w:type="dxa" w:w="100"/>
            </w:tcMar>
          </w:tcPr>
          <w:p>
            <w:r>
              <w:rPr>
                <w:b w:val="false"/>
                <w:bCs w:val="false"/>
              </w:rPr>
              <w:t xml:space="preserve">0:00–3:00</w:t>
            </w:r>
          </w:p>
        </w:tc>
        <w:tc>
          <w:tcPr>
            <w:tcW w:type="dxa" w:w="7160"/>
            <w:tcMar>
              <w:top w:type="dxa" w:w="80"/>
              <w:left w:type="dxa" w:w="100"/>
              <w:bottom w:type="dxa" w:w="80"/>
              <w:right w:type="dxa" w:w="100"/>
            </w:tcMar>
          </w:tcPr>
          <w:p>
            <w:r>
              <w:rPr>
                <w:b w:val="false"/>
                <w:bCs w:val="false"/>
              </w:rPr>
              <w:t xml:space="preserve">Cold-call launch (Overview read aloud), 30-second commitments, side-of-room vote — no explanation (Anchor 1)</w:t>
            </w:r>
          </w:p>
        </w:tc>
      </w:tr>
      <w:tr>
        <w:tc>
          <w:tcPr>
            <w:tcW w:type="dxa" w:w="2200"/>
            <w:tcMar>
              <w:top w:type="dxa" w:w="80"/>
              <w:left w:type="dxa" w:w="100"/>
              <w:bottom w:type="dxa" w:w="80"/>
              <w:right w:type="dxa" w:w="100"/>
            </w:tcMar>
          </w:tcPr>
          <w:p>
            <w:r>
              <w:rPr>
                <w:b w:val="false"/>
                <w:bCs w:val="false"/>
              </w:rPr>
              <w:t xml:space="preserve">3:00–10:00</w:t>
            </w:r>
          </w:p>
        </w:tc>
        <w:tc>
          <w:tcPr>
            <w:tcW w:type="dxa" w:w="7160"/>
            <w:tcMar>
              <w:top w:type="dxa" w:w="80"/>
              <w:left w:type="dxa" w:w="100"/>
              <w:bottom w:type="dxa" w:w="80"/>
              <w:right w:type="dxa" w:w="100"/>
            </w:tcMar>
          </w:tcPr>
          <w:p>
            <w:r>
              <w:rPr>
                <w:b w:val="false"/>
                <w:bCs w:val="false"/>
              </w:rPr>
              <w:t xml:space="preserve">"What business is David really in?" — force a second move, define the real question (Anchor 2)</w:t>
            </w:r>
          </w:p>
        </w:tc>
      </w:tr>
      <w:tr>
        <w:tc>
          <w:tcPr>
            <w:tcW w:type="dxa" w:w="2200"/>
            <w:tcMar>
              <w:top w:type="dxa" w:w="80"/>
              <w:left w:type="dxa" w:w="100"/>
              <w:bottom w:type="dxa" w:w="80"/>
              <w:right w:type="dxa" w:w="100"/>
            </w:tcMar>
          </w:tcPr>
          <w:p>
            <w:r>
              <w:rPr>
                <w:b w:val="false"/>
                <w:bCs w:val="false"/>
              </w:rPr>
              <w:t xml:space="preserve">10:00–15:00</w:t>
            </w:r>
          </w:p>
        </w:tc>
        <w:tc>
          <w:tcPr>
            <w:tcW w:type="dxa" w:w="7160"/>
            <w:tcMar>
              <w:top w:type="dxa" w:w="80"/>
              <w:left w:type="dxa" w:w="100"/>
              <w:bottom w:type="dxa" w:w="80"/>
              <w:right w:type="dxa" w:w="100"/>
            </w:tcMar>
          </w:tcPr>
          <w:p>
            <w:r>
              <w:rPr>
                <w:b w:val="false"/>
                <w:bCs w:val="false"/>
              </w:rPr>
              <w:t xml:space="preserve">Name a process; rank the top-5 variables that matter; hand out Appendices B–E; D1–D2 develop (Anchor 3, Data Deep Dive begins)</w:t>
            </w:r>
          </w:p>
        </w:tc>
      </w:tr>
      <w:tr>
        <w:tc>
          <w:tcPr>
            <w:tcW w:type="dxa" w:w="2200"/>
            <w:tcMar>
              <w:top w:type="dxa" w:w="80"/>
              <w:left w:type="dxa" w:w="100"/>
              <w:bottom w:type="dxa" w:w="80"/>
              <w:right w:type="dxa" w:w="100"/>
            </w:tcMar>
          </w:tcPr>
          <w:p>
            <w:r>
              <w:rPr>
                <w:b w:val="false"/>
                <w:bCs w:val="false"/>
              </w:rPr>
              <w:t xml:space="preserve">15:00</w:t>
            </w:r>
          </w:p>
        </w:tc>
        <w:tc>
          <w:tcPr>
            <w:tcW w:type="dxa" w:w="7160"/>
            <w:tcMar>
              <w:top w:type="dxa" w:w="80"/>
              <w:left w:type="dxa" w:w="100"/>
              <w:bottom w:type="dxa" w:w="80"/>
              <w:right w:type="dxa" w:w="100"/>
            </w:tcMar>
          </w:tcPr>
          <w:p>
            <w:r>
              <w:rPr>
                <w:b w:val="false"/>
                <w:bCs w:val="false"/>
              </w:rPr>
              <w:t xml:space="preserve">DROP THE TWIST — delivered slowly, both halves</w:t>
            </w:r>
          </w:p>
        </w:tc>
      </w:tr>
      <w:tr>
        <w:tc>
          <w:tcPr>
            <w:tcW w:type="dxa" w:w="2200"/>
            <w:tcMar>
              <w:top w:type="dxa" w:w="80"/>
              <w:left w:type="dxa" w:w="100"/>
              <w:bottom w:type="dxa" w:w="80"/>
              <w:right w:type="dxa" w:w="100"/>
            </w:tcMar>
          </w:tcPr>
          <w:p>
            <w:r>
              <w:rPr>
                <w:b w:val="false"/>
                <w:bCs w:val="false"/>
              </w:rPr>
              <w:t xml:space="preserve">15:00–20:00</w:t>
            </w:r>
          </w:p>
        </w:tc>
        <w:tc>
          <w:tcPr>
            <w:tcW w:type="dxa" w:w="7160"/>
            <w:tcMar>
              <w:top w:type="dxa" w:w="80"/>
              <w:left w:type="dxa" w:w="100"/>
              <w:bottom w:type="dxa" w:w="80"/>
              <w:right w:type="dxa" w:w="100"/>
            </w:tcMar>
          </w:tcPr>
          <w:p>
            <w:r>
              <w:rPr>
                <w:b w:val="false"/>
                <w:bCs w:val="false"/>
              </w:rPr>
              <w:t xml:space="preserve">Immediate recommit: who reverses, and why? "What just broke?"</w:t>
            </w:r>
          </w:p>
        </w:tc>
      </w:tr>
      <w:tr>
        <w:tc>
          <w:tcPr>
            <w:tcW w:type="dxa" w:w="2200"/>
            <w:tcMar>
              <w:top w:type="dxa" w:w="80"/>
              <w:left w:type="dxa" w:w="100"/>
              <w:bottom w:type="dxa" w:w="80"/>
              <w:right w:type="dxa" w:w="100"/>
            </w:tcMar>
          </w:tcPr>
          <w:p>
            <w:r>
              <w:rPr>
                <w:b w:val="false"/>
                <w:bCs w:val="false"/>
              </w:rPr>
              <w:t xml:space="preserve">20:00–30:00</w:t>
            </w:r>
          </w:p>
        </w:tc>
        <w:tc>
          <w:tcPr>
            <w:tcW w:type="dxa" w:w="7160"/>
            <w:tcMar>
              <w:top w:type="dxa" w:w="80"/>
              <w:left w:type="dxa" w:w="100"/>
              <w:bottom w:type="dxa" w:w="80"/>
              <w:right w:type="dxa" w:w="100"/>
            </w:tcMar>
          </w:tcPr>
          <w:p>
            <w:r>
              <w:rPr>
                <w:b w:val="false"/>
                <w:bCs w:val="false"/>
              </w:rPr>
              <w:t xml:space="preserve">Threaded deep conflict: (1) the interest-rate trap vs. full cost structure (D2 vs. D3/D4), (2) ownership/control vs. cash flow, (3) survival under the pessimistic scenario for either option</w:t>
            </w:r>
          </w:p>
        </w:tc>
      </w:tr>
      <w:tr>
        <w:tc>
          <w:tcPr>
            <w:tcW w:type="dxa" w:w="2200"/>
            <w:tcMar>
              <w:top w:type="dxa" w:w="80"/>
              <w:left w:type="dxa" w:w="100"/>
              <w:bottom w:type="dxa" w:w="80"/>
              <w:right w:type="dxa" w:w="100"/>
            </w:tcMar>
          </w:tcPr>
          <w:p>
            <w:r>
              <w:rPr>
                <w:b w:val="false"/>
                <w:bCs w:val="false"/>
              </w:rPr>
              <w:t xml:space="preserve">30:00–45:00</w:t>
            </w:r>
          </w:p>
        </w:tc>
        <w:tc>
          <w:tcPr>
            <w:tcW w:type="dxa" w:w="7160"/>
            <w:tcMar>
              <w:top w:type="dxa" w:w="80"/>
              <w:left w:type="dxa" w:w="100"/>
              <w:bottom w:type="dxa" w:w="80"/>
              <w:right w:type="dxa" w:w="100"/>
            </w:tcMar>
          </w:tcPr>
          <w:p>
            <w:r>
              <w:rPr>
                <w:b w:val="false"/>
                <w:bCs w:val="false"/>
              </w:rPr>
              <w:t xml:space="preserve">Close, re-vote, reflection, lessons learned</w:t>
            </w:r>
          </w:p>
        </w:tc>
      </w:tr>
    </w:tbl>
    <w:p>
      <w:pPr>
        <w:pStyle w:val="Heading1"/>
        <w:spacing w:after="160" w:before="320"/>
      </w:pPr>
      <w:r>
        <w:rPr>
          <w:b/>
          <w:bCs/>
        </w:rPr>
        <w:t xml:space="preserve">Cohort Bands</w:t>
      </w:r>
    </w:p>
    <w:p>
      <w:pPr>
        <w:spacing w:after="160"/>
      </w:pPr>
      <w:r>
        <w:t xml:space="preserve">See case.json.cohort_bands[] (Full 14-22 / Compressed 7-13 / 1:1-pair 1-2) — three bands declared per the cohort-bands floor in SPEC.md's "Cohort bands" subsection of Section 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2026-08-18T03:33:46.397Z</dcterms:created>
  <dcterms:modified xsi:type="dcterms:W3CDTF">2026-08-18T03:33:46.397Z</dcterms:modified>
</cp:coreProperties>
</file>

<file path=docProps/custom.xml><?xml version="1.0" encoding="utf-8"?>
<Properties xmlns="http://schemas.openxmlformats.org/officeDocument/2006/custom-properties" xmlns:vt="http://schemas.openxmlformats.org/officeDocument/2006/docPropsVTypes"/>
</file>