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Caribbean Internet Café</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The wine lounge sofas are still wrapped in plastic in David Grant's head, and he hasn't even signed a lease yet. He's sitting at his mother's kitchen table in Kingston, the ceiling fan clicking overhead, a legal pad covered in his own handwriting on one side and a typed proposal on the other. Outside, a radio somewhere down the street is playing dancehall over a diesel generator's hum.</w:t>
      </w:r>
    </w:p>
    <w:p>
      <w:r>
        <w:t xml:space="preserve">He picks up the legal pad first. Numbers he wrote himself, alone, deep into a sleepless night in a London dorm room, dreaming about the espresso machine he'd bring back from the States, the booths where university students would trade a modem's screech for a cold Red Stripe and a browser window. His own money. His own risk. His own café, start to finish.</w:t>
      </w:r>
    </w:p>
    <w:p>
      <w:r>
        <w:t xml:space="preserve">Then he picks up the typed proposal, the one with JTL's letterhead at the top. A phone call weeks ago changed everything: his old boss, listening to his pitch, going quiet for a second too long, then saying, "Let me take this upstairs." Now there's a number on the page next to the words "equity partner," and another number next to the words "long-term loan," and his former employer's fingerprints are all over the plan he thought was his alone.</w:t>
      </w:r>
    </w:p>
    <w:p>
      <w:r>
        <w:t xml:space="preserve">David sets both pieces of paper side by side on the table. Somewhere in Kingston tonight, two versions of the same café are waiting to be built, and only one of them gets to exist. He picks up his pen.</w:t>
      </w:r>
    </w:p>
    <w:p>
      <w:pPr>
        <w:pStyle w:val="Heading2"/>
        <w:spacing w:after="120" w:before="240"/>
      </w:pPr>
      <w:r>
        <w:t xml:space="preserve">Background</w:t>
      </w:r>
    </w:p>
    <w:p>
      <w:r>
        <w:rPr>
          <w:b/>
          <w:bCs/>
        </w:rPr>
        <w:t xml:space="preserve">David Grant</w:t>
      </w:r>
      <w:r>
        <w:t xml:space="preserve"> is finishing his MBA at the Richard Ivey School of Business, and is spending the summer researching whether to open </w:t>
      </w:r>
      <w:r>
        <w:rPr>
          <w:b/>
          <w:bCs/>
        </w:rPr>
        <w:t xml:space="preserve">Caribbean Internet Café (CIC)</w:t>
      </w:r>
      <w:r>
        <w:t xml:space="preserve"> in Kingston, Jamaica, once he graduates (</w:t>
      </w:r>
      <w:r>
        <w:rPr>
          <w:b/>
          <w:bCs/>
        </w:rPr>
        <w:t xml:space="preserve">SEE APPENDIX A</w:t>
      </w:r>
      <w:r>
        <w:t xml:space="preserve">). Before business school, David worked as a computer systems engineer at Jamaica Telecommunications Limited (JTL), one of the island's Internet service providers — a background that gives him both real technical fluency and a former employer who now wants a piece of his idea.</w:t>
      </w:r>
    </w:p>
    <w:p>
      <w:r>
        <w:t xml:space="preserve">David's concept borrows the European café model: brewed coffee, wine, pastries and casual seating, combined with paid Internet access on café-owned computers, printing, and office software — a category that barely exists yet in Kingston, where Internet use is still mostly confined to offices and universities charging by the hour (</w:t>
      </w:r>
      <w:r>
        <w:rPr>
          <w:b/>
          <w:bCs/>
        </w:rPr>
        <w:t xml:space="preserve">SEE APPENDIX A</w:t>
      </w:r>
      <w:r>
        <w:t xml:space="preserve">). He has scouted equipment, staffing, and a location in New Kingston's business district, and has a full first-year budget worked out down to the insurance premium (</w:t>
      </w:r>
      <w:r>
        <w:rPr>
          <w:b/>
          <w:bCs/>
        </w:rPr>
        <w:t xml:space="preserve">SEE APPENDICES B AND C</w:t>
      </w:r>
      <w:r>
        <w:t xml:space="preserve">).</w:t>
      </w:r>
    </w:p>
    <w:p>
      <w:r>
        <w:t xml:space="preserve">The venture requires real up-front capital, and David does not have all of it. He has approximately $500,000 in personal savings. Every other avenue he tried — friends, relatives, other investors — came up empty. His former employer, JTL, is now offering to fill the gap: JTL would buy 50 percent of the company outright and lend it a further $1,250,000 at a concessionary interest rate, well below what a typical Jamaican borrower could get on the open market (</w:t>
      </w:r>
      <w:r>
        <w:rPr>
          <w:b/>
          <w:bCs/>
        </w:rPr>
        <w:t xml:space="preserve">SEE APPENDIX D</w:t>
      </w:r>
      <w:r>
        <w:t xml:space="preserve">). JTL also commissioned an independent market research firm, which produced three separate projections — optimistic, realistic, and pessimistic — for how many of Kingston's roughly 20,000 potential customers would actually walk through CIC's door in a given year (</w:t>
      </w:r>
      <w:r>
        <w:rPr>
          <w:b/>
          <w:bCs/>
        </w:rPr>
        <w:t xml:space="preserve">SEE APPENDIX E</w:t>
      </w:r>
      <w:r>
        <w:t xml:space="preserve">).</w:t>
      </w:r>
    </w:p>
    <w:p>
      <w:r>
        <w:t xml:space="preserve">If David chooses to </w:t>
      </w:r>
      <w:r>
        <w:rPr>
          <w:b/>
          <w:bCs/>
        </w:rPr>
        <w:t xml:space="preserve">accept and proceed with the JTL offer</w:t>
      </w:r>
      <w:r>
        <w:t xml:space="preserve">, he keeps his café — and gains a much larger and more sophisticated financial partner behind it — but also gives up half the company and a real say over its future. If David chooses to </w:t>
      </w:r>
      <w:r>
        <w:rPr>
          <w:b/>
          <w:bCs/>
        </w:rPr>
        <w:t xml:space="preserve">go it alone, rejecting the JTL offer</w:t>
      </w:r>
      <w:r>
        <w:t xml:space="preserve">, he keeps full ownership, but has to find a way to finance more than a million Jamaican dollars of remaining startup cost entirely on his own, at whatever rate a lender is actually willing to give an unproven first-time café owner — a rate this case has to assume, since none is quoted directly (</w:t>
      </w:r>
      <w:r>
        <w:rPr>
          <w:b/>
          <w:bCs/>
        </w:rPr>
        <w:t xml:space="preserve">SEE APPENDICES D AND F</w:t>
      </w:r>
      <w:r>
        <w:t xml:space="preserve">). Every dollar figure in this case is in Jamaican currency unless stated otherwise; the going exchange rate at the time was approximately JA$35 to US$1 (</w:t>
      </w:r>
      <w:r>
        <w:rPr>
          <w:b/>
          <w:bCs/>
        </w:rPr>
        <w:t xml:space="preserve">SEE APPENDIX D</w:t>
      </w:r>
      <w:r>
        <w:t xml:space="preserve">).</w:t>
      </w:r>
    </w:p>
    <w:p>
      <w:r>
        <w:t xml:space="preserve">Because JTL's 50 percent equity stake is a permanent claim on CIC's future profit and not a one-time cost, it is worth keeping in mind that the financing-cost comparison this case's deliverables ask you to build (</w:t>
      </w:r>
      <w:r>
        <w:rPr>
          <w:b/>
          <w:bCs/>
        </w:rPr>
        <w:t xml:space="preserve">SEE CHALLENGE 3, D2</w:t>
      </w:r>
      <w:r>
        <w:t xml:space="preserve">) is a </w:t>
      </w:r>
      <w:r>
        <w:rPr>
          <w:i/>
          <w:iCs/>
        </w:rPr>
        <w:t xml:space="preserve">company-level</w:t>
      </w:r>
      <w:r>
        <w:t xml:space="preserve"> comparison — it does not by itself tell you what David personally keeps once CIC's own owners divide up whatever profit the company earns. A pitch that only compares the two financing costs is not yet a complete answer to "what should David do."</w:t>
      </w:r>
    </w:p>
    <w:p>
      <w:r>
        <w:t xml:space="preserve">The vocabulary and the "how to…" skills this case will ask of you are listed in </w:t>
      </w:r>
      <w:r>
        <w:rPr>
          <w:b/>
          <w:bCs/>
        </w:rPr>
        <w:t xml:space="preserve">Appendix H</w:t>
      </w:r>
      <w:r>
        <w:t xml:space="preserve"> — that is where Challenge 1 sends you. Curious about the real David Grant, the real 1996 internet café boom, or how Jamaica's telecom market has changed since (</w:t>
      </w:r>
      <w:r>
        <w:rPr>
          <w:b/>
          <w:bCs/>
        </w:rPr>
        <w:t xml:space="preserve">SEE APPENDIX G</w:t>
      </w:r>
      <w:r>
        <w:t xml:space="preserve"> for further reading).</w:t>
      </w:r>
    </w:p>
    <w:p>
      <w:pPr>
        <w:pStyle w:val="Heading2"/>
        <w:spacing w:after="120" w:before="240"/>
      </w:pPr>
      <w:r>
        <w:t xml:space="preserve">Dilemma</w:t>
      </w:r>
    </w:p>
    <w:p>
      <w:r>
        <w:t xml:space="preserve">You are David Grant.</w:t>
      </w:r>
    </w:p>
    <w:p>
      <w:r>
        <w:t xml:space="preserve">Do you:</w:t>
      </w:r>
    </w:p>
    <w:p>
      <w:r>
        <w:rPr>
          <w:b/>
          <w:bCs/>
        </w:rPr>
        <w:t xml:space="preserve">A.)</w:t>
      </w:r>
      <w:r>
        <w:t xml:space="preserve"> Go it alone, rejecting the CIC offer from JTL </w:t>
      </w:r>
      <w:r>
        <w:rPr>
          <w:b/>
          <w:bCs/>
        </w:rPr>
        <w:t xml:space="preserve">OR</w:t>
      </w:r>
    </w:p>
    <w:p>
      <w:r>
        <w:rPr>
          <w:b/>
          <w:bCs/>
        </w:rPr>
        <w:t xml:space="preserve">B.)</w:t>
      </w:r>
      <w:r>
        <w:t xml:space="preserve"> Accept and proceed with the CIC offer from JTL</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startup investment (PSI) table</w:t>
      </w:r>
      <w:r>
        <w:t xml:space="preserve"> for CIC: every equipment line item from Appendix B converted from its US-dollar unit cost to a Jamaican-dollar total, plus every other up-front cost (legal/incorporation/licensing/decorating, pre-opening advertising, utility deposit), summed to a single total Primary Sunk Investment figure, rounded to the nearest thousand Jamaican dollars.</w:t>
      </w:r>
    </w:p>
    <w:p>
      <w:pPr>
        <w:ind w:left="360"/>
      </w:pPr>
      <w:r>
        <w:t xml:space="preserve">- </w:t>
      </w:r>
      <w:r>
        <w:rPr>
          <w:b/>
          <w:bCs/>
        </w:rPr>
        <w:t xml:space="preserve">D2 — A monthly financing-cost table</w:t>
      </w:r>
      <w:r>
        <w:t xml:space="preserve"> comparing Option A's and Option B's interest expense: Option B's cost of servicing JTL's loan at its stated concessionary rate, and Option A's cost of financing the same funding gap yourself, at the market interest rate the case gives you elsewhere in the document (SEE APPENDIX D) — converted from an annual rate to a monthly dollar cost.</w:t>
      </w:r>
    </w:p>
    <w:p>
      <w:pPr>
        <w:ind w:left="360"/>
      </w:pPr>
      <w:r>
        <w:t xml:space="preserve">- </w:t>
      </w:r>
      <w:r>
        <w:rPr>
          <w:b/>
          <w:bCs/>
        </w:rPr>
        <w:t xml:space="preserve">D3 — A monthly operating-cost and per-visit contribution-margin table</w:t>
      </w:r>
      <w:r>
        <w:t xml:space="preserve">: every fixed monthly cost CIC carries regardless of financing choice (rent, staffing, utilities, insurance, etc.), plus the net revenue CIC keeps from a single one-hour customer visit once its own internet and food/drink costs are subtracted.</w:t>
      </w:r>
    </w:p>
    <w:p>
      <w:pPr>
        <w:ind w:left="360"/>
      </w:pPr>
      <w:r>
        <w:t xml:space="preserve">- </w:t>
      </w:r>
      <w:r>
        <w:rPr>
          <w:b/>
          <w:bCs/>
        </w:rPr>
        <w:t xml:space="preserve">D4 — A break-even table</w:t>
      </w:r>
      <w:r>
        <w:t xml:space="preserve">: the number of customer visits per month CIC needs, under each financing option, just to cover its combined fixed costs and interest expense — and a comparison of that break-even figure against the monthly visit count implied by each of Appendix E's three market-research scenarios.</w:t>
      </w:r>
    </w:p>
    <w:p>
      <w:pPr>
        <w:ind w:left="360"/>
      </w:pPr>
      <w:r>
        <w:t xml:space="preserve">- </w:t>
      </w:r>
      <w:r>
        <w:rPr>
          <w:b/>
          <w:bCs/>
        </w:rPr>
        <w:t xml:space="preserve">D5 — An original bar graph</w:t>
      </w:r>
      <w:r>
        <w:t xml:space="preserve"> comparing Option A's and Option B's monthly break-even visit count against the three Appendix E scenario visit levels (optimistic, realistic, pessimistic).</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David Grant and the Café Concept</w:t>
      </w:r>
    </w:p>
    <w:p>
      <w:r>
        <w:t xml:space="preserve">David Grant is finishing an MBA at the Richard Ivey School of Business (University of Western Ontario) and previously worked as a computer systems engineer at Jamaica Telecommunications Limited (JTL) — one of seven Internet service providers on the island, 80 percent owned by a British telecommunications company. He also taught part-time at the University of Technology in Kingston and worked as a computer programmer.</w:t>
      </w:r>
    </w:p>
    <w:p>
      <w:r>
        <w:t xml:space="preserve">In 1996 Jamaica, Internet awareness is high but actual access is low: mostly corporations and universities are connected, individuals there are limited to short reserved time blocks, and the going hourly rate charged by existing Internet service providers has made casual, low-volume use unattractive. Kingston has plenty of cafés, but none of them combine food, drink, and Internet access the way European-style Internet cafés already do abroad.</w:t>
      </w:r>
    </w:p>
    <w:p>
      <w:r>
        <w:t xml:space="preserve">David's plan: a 50-seat café in New Kingston (15 computer-terminal booths, 15 wine-lounge seats, 20 general café seats) offering brewed coffee, espresso, wine, fresh juice, and bakery goods sourced from local bakeries (CIC would have no kitchen of its own), plus five networked computers, printing, scanning, and office software. His target customer: computer-literate 18–35 year-olds with disposable income, working in New Kingston's banking, insurance, and professional-services core, who want a place to work, socialize, or both.</w:t>
      </w:r>
    </w:p>
    <w:p>
      <w:r>
        <w:rPr>
          <w:i/>
          <w:iCs/>
        </w:rPr>
        <w:t xml:space="preserve">This case is a formalization of a real, published Ivey Business School teaching case (see `sources[]`); the underlying company, decision, and figures are real historical business-planning data, not fiction.</w:t>
      </w:r>
    </w:p>
    <w:p>
      <w:pPr>
        <w:pStyle w:val="Heading2"/>
        <w:spacing w:after="120" w:before="240"/>
      </w:pPr>
      <w:r>
        <w:t xml:space="preserve">Appendix B: Startup Equipment List</w:t>
      </w:r>
    </w:p>
    <w:p>
      <w:r>
        <w:t xml:space="preserve">Every item David intends to buy in the United States and ship to Jamaica himself, to avoid Jamaican retail markups. Unit costs are in US dollars; totals are in Jamaican dollars at the exchange rate in Appendix 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Item</w:t>
            </w:r>
          </w:p>
        </w:tc>
        <w:tc>
          <w:tcPr>
            <w:tcW w:type="dxa" w:w="2250"/>
            <w:shd w:fill="DDDDDD" w:val="clear"/>
          </w:tcPr>
          <w:p>
            <w:r>
              <w:t xml:space="preserve">Number of Items</w:t>
            </w:r>
          </w:p>
        </w:tc>
        <w:tc>
          <w:tcPr>
            <w:tcW w:type="dxa" w:w="2250"/>
            <w:shd w:fill="DDDDDD" w:val="clear"/>
          </w:tcPr>
          <w:p>
            <w:r>
              <w:t xml:space="preserve">Unit Cost (US$)</w:t>
            </w:r>
          </w:p>
        </w:tc>
        <w:tc>
          <w:tcPr>
            <w:tcW w:type="dxa" w:w="2250"/>
            <w:shd w:fill="DDDDDD" w:val="clear"/>
          </w:tcPr>
          <w:p>
            <w:r>
              <w:t xml:space="preserve">Total Cost (JA$)</w:t>
            </w:r>
          </w:p>
        </w:tc>
      </w:tr>
      <w:tr>
        <w:tc>
          <w:tcPr>
            <w:tcW w:type="dxa" w:w="2250"/>
          </w:tcPr>
          <w:p>
            <w:r>
              <w:rPr>
                <w:b/>
                <w:bCs/>
              </w:rPr>
              <w:t xml:space="preserve">General Equipment</w:t>
            </w:r>
          </w:p>
        </w:tc>
        <w:tc>
          <w:tcPr>
            <w:tcW w:type="dxa" w:w="2250"/>
          </w:tcPr>
          <w:p>
            <w:r>
              <w:t xml:space="preserve"/>
            </w:r>
          </w:p>
        </w:tc>
        <w:tc>
          <w:tcPr>
            <w:tcW w:type="dxa" w:w="2250"/>
          </w:tcPr>
          <w:p>
            <w:r>
              <w:t xml:space="preserve"/>
            </w:r>
          </w:p>
        </w:tc>
        <w:tc>
          <w:tcPr>
            <w:tcW w:type="dxa" w:w="2250"/>
          </w:tcPr>
          <w:p>
            <w:r>
              <w:t xml:space="preserve"/>
            </w:r>
          </w:p>
        </w:tc>
      </w:tr>
      <w:tr>
        <w:tc>
          <w:tcPr>
            <w:tcW w:type="dxa" w:w="2250"/>
          </w:tcPr>
          <w:p>
            <w:r>
              <w:t xml:space="preserve">Telephone system</w:t>
            </w:r>
          </w:p>
        </w:tc>
        <w:tc>
          <w:tcPr>
            <w:tcW w:type="dxa" w:w="2250"/>
          </w:tcPr>
          <w:p>
            <w:r>
              <w:t xml:space="preserve">1</w:t>
            </w:r>
          </w:p>
        </w:tc>
        <w:tc>
          <w:tcPr>
            <w:tcW w:type="dxa" w:w="2250"/>
          </w:tcPr>
          <w:p>
            <w:r>
              <w:t xml:space="preserve">$150</w:t>
            </w:r>
          </w:p>
        </w:tc>
        <w:tc>
          <w:tcPr>
            <w:tcW w:type="dxa" w:w="2250"/>
          </w:tcPr>
          <w:p>
            <w:r>
              <w:t xml:space="preserve">$5,250</w:t>
            </w:r>
          </w:p>
        </w:tc>
      </w:tr>
      <w:tr>
        <w:tc>
          <w:tcPr>
            <w:tcW w:type="dxa" w:w="2250"/>
          </w:tcPr>
          <w:p>
            <w:r>
              <w:t xml:space="preserve">Counter fixtures</w:t>
            </w:r>
          </w:p>
        </w:tc>
        <w:tc>
          <w:tcPr>
            <w:tcW w:type="dxa" w:w="2250"/>
          </w:tcPr>
          <w:p>
            <w:r>
              <w:t xml:space="preserve">1</w:t>
            </w:r>
          </w:p>
        </w:tc>
        <w:tc>
          <w:tcPr>
            <w:tcW w:type="dxa" w:w="2250"/>
          </w:tcPr>
          <w:p>
            <w:r>
              <w:t xml:space="preserve">$10,000</w:t>
            </w:r>
          </w:p>
        </w:tc>
        <w:tc>
          <w:tcPr>
            <w:tcW w:type="dxa" w:w="2250"/>
          </w:tcPr>
          <w:p>
            <w:r>
              <w:t xml:space="preserve">$350,000</w:t>
            </w:r>
          </w:p>
        </w:tc>
      </w:tr>
      <w:tr>
        <w:tc>
          <w:tcPr>
            <w:tcW w:type="dxa" w:w="2250"/>
          </w:tcPr>
          <w:p>
            <w:r>
              <w:t xml:space="preserve">Espresso machines</w:t>
            </w:r>
          </w:p>
        </w:tc>
        <w:tc>
          <w:tcPr>
            <w:tcW w:type="dxa" w:w="2250"/>
          </w:tcPr>
          <w:p>
            <w:r>
              <w:t xml:space="preserve">2</w:t>
            </w:r>
          </w:p>
        </w:tc>
        <w:tc>
          <w:tcPr>
            <w:tcW w:type="dxa" w:w="2250"/>
          </w:tcPr>
          <w:p>
            <w:r>
              <w:t xml:space="preserve">$2,000</w:t>
            </w:r>
          </w:p>
        </w:tc>
        <w:tc>
          <w:tcPr>
            <w:tcW w:type="dxa" w:w="2250"/>
          </w:tcPr>
          <w:p>
            <w:r>
              <w:t xml:space="preserve">$140,000</w:t>
            </w:r>
          </w:p>
        </w:tc>
      </w:tr>
      <w:tr>
        <w:tc>
          <w:tcPr>
            <w:tcW w:type="dxa" w:w="2250"/>
          </w:tcPr>
          <w:p>
            <w:r>
              <w:t xml:space="preserve">Cash register</w:t>
            </w:r>
          </w:p>
        </w:tc>
        <w:tc>
          <w:tcPr>
            <w:tcW w:type="dxa" w:w="2250"/>
          </w:tcPr>
          <w:p>
            <w:r>
              <w:t xml:space="preserve">1</w:t>
            </w:r>
          </w:p>
        </w:tc>
        <w:tc>
          <w:tcPr>
            <w:tcW w:type="dxa" w:w="2250"/>
          </w:tcPr>
          <w:p>
            <w:r>
              <w:t xml:space="preserve">—</w:t>
            </w:r>
          </w:p>
        </w:tc>
        <w:tc>
          <w:tcPr>
            <w:tcW w:type="dxa" w:w="2250"/>
          </w:tcPr>
          <w:p>
            <w:r>
              <w:t xml:space="preserve">$50,000</w:t>
            </w:r>
          </w:p>
        </w:tc>
      </w:tr>
      <w:tr>
        <w:tc>
          <w:tcPr>
            <w:tcW w:type="dxa" w:w="2250"/>
          </w:tcPr>
          <w:p>
            <w:r>
              <w:t xml:space="preserve">Photocopier</w:t>
            </w:r>
          </w:p>
        </w:tc>
        <w:tc>
          <w:tcPr>
            <w:tcW w:type="dxa" w:w="2250"/>
          </w:tcPr>
          <w:p>
            <w:r>
              <w:t xml:space="preserve">1</w:t>
            </w:r>
          </w:p>
        </w:tc>
        <w:tc>
          <w:tcPr>
            <w:tcW w:type="dxa" w:w="2250"/>
          </w:tcPr>
          <w:p>
            <w:r>
              <w:t xml:space="preserve">$800</w:t>
            </w:r>
          </w:p>
        </w:tc>
        <w:tc>
          <w:tcPr>
            <w:tcW w:type="dxa" w:w="2250"/>
          </w:tcPr>
          <w:p>
            <w:r>
              <w:t xml:space="preserve">$28,000</w:t>
            </w:r>
          </w:p>
        </w:tc>
      </w:tr>
      <w:tr>
        <w:tc>
          <w:tcPr>
            <w:tcW w:type="dxa" w:w="2250"/>
          </w:tcPr>
          <w:p>
            <w:r>
              <w:rPr>
                <w:b/>
                <w:bCs/>
              </w:rPr>
              <w:t xml:space="preserve">Hardware</w:t>
            </w:r>
          </w:p>
        </w:tc>
        <w:tc>
          <w:tcPr>
            <w:tcW w:type="dxa" w:w="2250"/>
          </w:tcPr>
          <w:p>
            <w:r>
              <w:t xml:space="preserve"/>
            </w:r>
          </w:p>
        </w:tc>
        <w:tc>
          <w:tcPr>
            <w:tcW w:type="dxa" w:w="2250"/>
          </w:tcPr>
          <w:p>
            <w:r>
              <w:t xml:space="preserve"/>
            </w:r>
          </w:p>
        </w:tc>
        <w:tc>
          <w:tcPr>
            <w:tcW w:type="dxa" w:w="2250"/>
          </w:tcPr>
          <w:p>
            <w:r>
              <w:t xml:space="preserve"/>
            </w:r>
          </w:p>
        </w:tc>
      </w:tr>
      <w:tr>
        <w:tc>
          <w:tcPr>
            <w:tcW w:type="dxa" w:w="2250"/>
          </w:tcPr>
          <w:p>
            <w:r>
              <w:t xml:space="preserve">Pentium systems, colour monitors, CD-ROMs and modems</w:t>
            </w:r>
          </w:p>
        </w:tc>
        <w:tc>
          <w:tcPr>
            <w:tcW w:type="dxa" w:w="2250"/>
          </w:tcPr>
          <w:p>
            <w:r>
              <w:t xml:space="preserve">5</w:t>
            </w:r>
          </w:p>
        </w:tc>
        <w:tc>
          <w:tcPr>
            <w:tcW w:type="dxa" w:w="2250"/>
          </w:tcPr>
          <w:p>
            <w:r>
              <w:t xml:space="preserve">$2,000</w:t>
            </w:r>
          </w:p>
        </w:tc>
        <w:tc>
          <w:tcPr>
            <w:tcW w:type="dxa" w:w="2250"/>
          </w:tcPr>
          <w:p>
            <w:r>
              <w:t xml:space="preserve">$350,000</w:t>
            </w:r>
          </w:p>
        </w:tc>
      </w:tr>
      <w:tr>
        <w:tc>
          <w:tcPr>
            <w:tcW w:type="dxa" w:w="2250"/>
          </w:tcPr>
          <w:p>
            <w:r>
              <w:t xml:space="preserve">Colour ink-jet printer</w:t>
            </w:r>
          </w:p>
        </w:tc>
        <w:tc>
          <w:tcPr>
            <w:tcW w:type="dxa" w:w="2250"/>
          </w:tcPr>
          <w:p>
            <w:r>
              <w:t xml:space="preserve">1</w:t>
            </w:r>
          </w:p>
        </w:tc>
        <w:tc>
          <w:tcPr>
            <w:tcW w:type="dxa" w:w="2250"/>
          </w:tcPr>
          <w:p>
            <w:r>
              <w:t xml:space="preserve">$400</w:t>
            </w:r>
          </w:p>
        </w:tc>
        <w:tc>
          <w:tcPr>
            <w:tcW w:type="dxa" w:w="2250"/>
          </w:tcPr>
          <w:p>
            <w:r>
              <w:t xml:space="preserve">$14,000</w:t>
            </w:r>
          </w:p>
        </w:tc>
      </w:tr>
      <w:tr>
        <w:tc>
          <w:tcPr>
            <w:tcW w:type="dxa" w:w="2250"/>
          </w:tcPr>
          <w:p>
            <w:r>
              <w:t xml:space="preserve">Laser printer</w:t>
            </w:r>
          </w:p>
        </w:tc>
        <w:tc>
          <w:tcPr>
            <w:tcW w:type="dxa" w:w="2250"/>
          </w:tcPr>
          <w:p>
            <w:r>
              <w:t xml:space="preserve">1</w:t>
            </w:r>
          </w:p>
        </w:tc>
        <w:tc>
          <w:tcPr>
            <w:tcW w:type="dxa" w:w="2250"/>
          </w:tcPr>
          <w:p>
            <w:r>
              <w:t xml:space="preserve">$800</w:t>
            </w:r>
          </w:p>
        </w:tc>
        <w:tc>
          <w:tcPr>
            <w:tcW w:type="dxa" w:w="2250"/>
          </w:tcPr>
          <w:p>
            <w:r>
              <w:t xml:space="preserve">$28,000</w:t>
            </w:r>
          </w:p>
        </w:tc>
      </w:tr>
      <w:tr>
        <w:tc>
          <w:tcPr>
            <w:tcW w:type="dxa" w:w="2250"/>
          </w:tcPr>
          <w:p>
            <w:r>
              <w:rPr>
                <w:b/>
                <w:bCs/>
              </w:rPr>
              <w:t xml:space="preserve">Software</w:t>
            </w:r>
          </w:p>
        </w:tc>
        <w:tc>
          <w:tcPr>
            <w:tcW w:type="dxa" w:w="2250"/>
          </w:tcPr>
          <w:p>
            <w:r>
              <w:t xml:space="preserve"/>
            </w:r>
          </w:p>
        </w:tc>
        <w:tc>
          <w:tcPr>
            <w:tcW w:type="dxa" w:w="2250"/>
          </w:tcPr>
          <w:p>
            <w:r>
              <w:t xml:space="preserve"/>
            </w:r>
          </w:p>
        </w:tc>
        <w:tc>
          <w:tcPr>
            <w:tcW w:type="dxa" w:w="2250"/>
          </w:tcPr>
          <w:p>
            <w:r>
              <w:t xml:space="preserve"/>
            </w:r>
          </w:p>
        </w:tc>
      </w:tr>
      <w:tr>
        <w:tc>
          <w:tcPr>
            <w:tcW w:type="dxa" w:w="2250"/>
          </w:tcPr>
          <w:p>
            <w:r>
              <w:t xml:space="preserve">Windows 95</w:t>
            </w:r>
          </w:p>
        </w:tc>
        <w:tc>
          <w:tcPr>
            <w:tcW w:type="dxa" w:w="2250"/>
          </w:tcPr>
          <w:p>
            <w:r>
              <w:t xml:space="preserve">1</w:t>
            </w:r>
          </w:p>
        </w:tc>
        <w:tc>
          <w:tcPr>
            <w:tcW w:type="dxa" w:w="2250"/>
          </w:tcPr>
          <w:p>
            <w:r>
              <w:t xml:space="preserve">$100</w:t>
            </w:r>
          </w:p>
        </w:tc>
        <w:tc>
          <w:tcPr>
            <w:tcW w:type="dxa" w:w="2250"/>
          </w:tcPr>
          <w:p>
            <w:r>
              <w:t xml:space="preserve">$3,500</w:t>
            </w:r>
          </w:p>
        </w:tc>
      </w:tr>
      <w:tr>
        <w:tc>
          <w:tcPr>
            <w:tcW w:type="dxa" w:w="2250"/>
          </w:tcPr>
          <w:p>
            <w:r>
              <w:t xml:space="preserve">Microsoft Office</w:t>
            </w:r>
          </w:p>
        </w:tc>
        <w:tc>
          <w:tcPr>
            <w:tcW w:type="dxa" w:w="2250"/>
          </w:tcPr>
          <w:p>
            <w:r>
              <w:t xml:space="preserve">1</w:t>
            </w:r>
          </w:p>
        </w:tc>
        <w:tc>
          <w:tcPr>
            <w:tcW w:type="dxa" w:w="2250"/>
          </w:tcPr>
          <w:p>
            <w:r>
              <w:t xml:space="preserve">$350</w:t>
            </w:r>
          </w:p>
        </w:tc>
        <w:tc>
          <w:tcPr>
            <w:tcW w:type="dxa" w:w="2250"/>
          </w:tcPr>
          <w:p>
            <w:r>
              <w:t xml:space="preserve">$12,250</w:t>
            </w:r>
          </w:p>
        </w:tc>
      </w:tr>
      <w:tr>
        <w:tc>
          <w:tcPr>
            <w:tcW w:type="dxa" w:w="2250"/>
          </w:tcPr>
          <w:p>
            <w:r>
              <w:rPr>
                <w:b/>
                <w:bCs/>
              </w:rPr>
              <w:t xml:space="preserve">Furniture</w:t>
            </w:r>
          </w:p>
        </w:tc>
        <w:tc>
          <w:tcPr>
            <w:tcW w:type="dxa" w:w="2250"/>
          </w:tcPr>
          <w:p>
            <w:r>
              <w:t xml:space="preserve"/>
            </w:r>
          </w:p>
        </w:tc>
        <w:tc>
          <w:tcPr>
            <w:tcW w:type="dxa" w:w="2250"/>
          </w:tcPr>
          <w:p>
            <w:r>
              <w:t xml:space="preserve"/>
            </w:r>
          </w:p>
        </w:tc>
        <w:tc>
          <w:tcPr>
            <w:tcW w:type="dxa" w:w="2250"/>
          </w:tcPr>
          <w:p>
            <w:r>
              <w:t xml:space="preserve"/>
            </w:r>
          </w:p>
        </w:tc>
      </w:tr>
      <w:tr>
        <w:tc>
          <w:tcPr>
            <w:tcW w:type="dxa" w:w="2250"/>
          </w:tcPr>
          <w:p>
            <w:r>
              <w:t xml:space="preserve">Tables or booths</w:t>
            </w:r>
          </w:p>
        </w:tc>
        <w:tc>
          <w:tcPr>
            <w:tcW w:type="dxa" w:w="2250"/>
          </w:tcPr>
          <w:p>
            <w:r>
              <w:t xml:space="preserve">20</w:t>
            </w:r>
          </w:p>
        </w:tc>
        <w:tc>
          <w:tcPr>
            <w:tcW w:type="dxa" w:w="2250"/>
          </w:tcPr>
          <w:p>
            <w:r>
              <w:t xml:space="preserve">$150</w:t>
            </w:r>
          </w:p>
        </w:tc>
        <w:tc>
          <w:tcPr>
            <w:tcW w:type="dxa" w:w="2250"/>
          </w:tcPr>
          <w:p>
            <w:r>
              <w:t xml:space="preserve">$105,000</w:t>
            </w:r>
          </w:p>
        </w:tc>
      </w:tr>
      <w:tr>
        <w:tc>
          <w:tcPr>
            <w:tcW w:type="dxa" w:w="2250"/>
          </w:tcPr>
          <w:p>
            <w:r>
              <w:t xml:space="preserve">Chairs or stools</w:t>
            </w:r>
          </w:p>
        </w:tc>
        <w:tc>
          <w:tcPr>
            <w:tcW w:type="dxa" w:w="2250"/>
          </w:tcPr>
          <w:p>
            <w:r>
              <w:t xml:space="preserve">50</w:t>
            </w:r>
          </w:p>
        </w:tc>
        <w:tc>
          <w:tcPr>
            <w:tcW w:type="dxa" w:w="2250"/>
          </w:tcPr>
          <w:p>
            <w:r>
              <w:t xml:space="preserve">$100</w:t>
            </w:r>
          </w:p>
        </w:tc>
        <w:tc>
          <w:tcPr>
            <w:tcW w:type="dxa" w:w="2250"/>
          </w:tcPr>
          <w:p>
            <w:r>
              <w:t xml:space="preserve">$175,000</w:t>
            </w:r>
          </w:p>
        </w:tc>
      </w:tr>
      <w:tr>
        <w:tc>
          <w:tcPr>
            <w:tcW w:type="dxa" w:w="2250"/>
          </w:tcPr>
          <w:p>
            <w:r>
              <w:t xml:space="preserve">Sofas</w:t>
            </w:r>
          </w:p>
        </w:tc>
        <w:tc>
          <w:tcPr>
            <w:tcW w:type="dxa" w:w="2250"/>
          </w:tcPr>
          <w:p>
            <w:r>
              <w:t xml:space="preserve">2</w:t>
            </w:r>
          </w:p>
        </w:tc>
        <w:tc>
          <w:tcPr>
            <w:tcW w:type="dxa" w:w="2250"/>
          </w:tcPr>
          <w:p>
            <w:r>
              <w:t xml:space="preserve">—</w:t>
            </w:r>
          </w:p>
        </w:tc>
        <w:tc>
          <w:tcPr>
            <w:tcW w:type="dxa" w:w="2250"/>
          </w:tcPr>
          <w:p>
            <w:r>
              <w:t xml:space="preserve">$50,000</w:t>
            </w:r>
          </w:p>
        </w:tc>
      </w:tr>
      <w:tr>
        <w:tc>
          <w:tcPr>
            <w:tcW w:type="dxa" w:w="2250"/>
          </w:tcPr>
          <w:p>
            <w:r>
              <w:rPr>
                <w:b/>
                <w:bCs/>
              </w:rPr>
              <w:t xml:space="preserve">Other</w:t>
            </w:r>
          </w:p>
        </w:tc>
        <w:tc>
          <w:tcPr>
            <w:tcW w:type="dxa" w:w="2250"/>
          </w:tcPr>
          <w:p>
            <w:r>
              <w:t xml:space="preserve"/>
            </w:r>
          </w:p>
        </w:tc>
        <w:tc>
          <w:tcPr>
            <w:tcW w:type="dxa" w:w="2250"/>
          </w:tcPr>
          <w:p>
            <w:r>
              <w:t xml:space="preserve"/>
            </w:r>
          </w:p>
        </w:tc>
        <w:tc>
          <w:tcPr>
            <w:tcW w:type="dxa" w:w="2250"/>
          </w:tcPr>
          <w:p>
            <w:r>
              <w:t xml:space="preserve"/>
            </w:r>
          </w:p>
        </w:tc>
      </w:tr>
      <w:tr>
        <w:tc>
          <w:tcPr>
            <w:tcW w:type="dxa" w:w="2250"/>
          </w:tcPr>
          <w:p>
            <w:r>
              <w:t xml:space="preserve">Artwork/sculptures</w:t>
            </w:r>
          </w:p>
        </w:tc>
        <w:tc>
          <w:tcPr>
            <w:tcW w:type="dxa" w:w="2250"/>
          </w:tcPr>
          <w:p>
            <w:r>
              <w:t xml:space="preserve">4</w:t>
            </w:r>
          </w:p>
        </w:tc>
        <w:tc>
          <w:tcPr>
            <w:tcW w:type="dxa" w:w="2250"/>
          </w:tcPr>
          <w:p>
            <w:r>
              <w:t xml:space="preserve">—</w:t>
            </w:r>
          </w:p>
        </w:tc>
        <w:tc>
          <w:tcPr>
            <w:tcW w:type="dxa" w:w="2250"/>
          </w:tcPr>
          <w:p>
            <w:r>
              <w:t xml:space="preserve">$10,000</w:t>
            </w:r>
          </w:p>
        </w:tc>
      </w:tr>
      <w:tr>
        <w:tc>
          <w:tcPr>
            <w:tcW w:type="dxa" w:w="2250"/>
          </w:tcPr>
          <w:p>
            <w:r>
              <w:t xml:space="preserve">China, cutlery, glassware</w:t>
            </w:r>
          </w:p>
        </w:tc>
        <w:tc>
          <w:tcPr>
            <w:tcW w:type="dxa" w:w="2250"/>
          </w:tcPr>
          <w:p>
            <w:r>
              <w:t xml:space="preserve">—</w:t>
            </w:r>
          </w:p>
        </w:tc>
        <w:tc>
          <w:tcPr>
            <w:tcW w:type="dxa" w:w="2250"/>
          </w:tcPr>
          <w:p>
            <w:r>
              <w:t xml:space="preserve">—</w:t>
            </w:r>
          </w:p>
        </w:tc>
        <w:tc>
          <w:tcPr>
            <w:tcW w:type="dxa" w:w="2250"/>
          </w:tcPr>
          <w:p>
            <w:r>
              <w:t xml:space="preserve">$100,000</w:t>
            </w:r>
          </w:p>
        </w:tc>
      </w:tr>
      <w:tr>
        <w:tc>
          <w:tcPr>
            <w:tcW w:type="dxa" w:w="2250"/>
          </w:tcPr>
          <w:p>
            <w:r>
              <w:t xml:space="preserve">Flowers/plants</w:t>
            </w:r>
          </w:p>
        </w:tc>
        <w:tc>
          <w:tcPr>
            <w:tcW w:type="dxa" w:w="2250"/>
          </w:tcPr>
          <w:p>
            <w:r>
              <w:t xml:space="preserve">—</w:t>
            </w:r>
          </w:p>
        </w:tc>
        <w:tc>
          <w:tcPr>
            <w:tcW w:type="dxa" w:w="2250"/>
          </w:tcPr>
          <w:p>
            <w:r>
              <w:t xml:space="preserve">—</w:t>
            </w:r>
          </w:p>
        </w:tc>
        <w:tc>
          <w:tcPr>
            <w:tcW w:type="dxa" w:w="2250"/>
          </w:tcPr>
          <w:p>
            <w:r>
              <w:t xml:space="preserve">$5,000</w:t>
            </w:r>
          </w:p>
        </w:tc>
      </w:tr>
      <w:tr>
        <w:tc>
          <w:tcPr>
            <w:tcW w:type="dxa" w:w="2250"/>
          </w:tcPr>
          <w:p>
            <w:r>
              <w:rPr>
                <w:b/>
                <w:bCs/>
              </w:rPr>
              <w:t xml:space="preserve">TOTAL</w:t>
            </w:r>
          </w:p>
        </w:tc>
        <w:tc>
          <w:tcPr>
            <w:tcW w:type="dxa" w:w="2250"/>
          </w:tcPr>
          <w:p>
            <w:r>
              <w:t xml:space="preserve"/>
            </w:r>
          </w:p>
        </w:tc>
        <w:tc>
          <w:tcPr>
            <w:tcW w:type="dxa" w:w="2250"/>
          </w:tcPr>
          <w:p>
            <w:r>
              <w:t xml:space="preserve"/>
            </w:r>
          </w:p>
        </w:tc>
        <w:tc>
          <w:tcPr>
            <w:tcW w:type="dxa" w:w="2250"/>
          </w:tcPr>
          <w:p>
            <w:r>
              <w:rPr>
                <w:b/>
                <w:bCs/>
              </w:rPr>
              <w:t xml:space="preserve">$1,426,000</w:t>
            </w:r>
          </w:p>
        </w:tc>
      </w:tr>
    </w:tbl>
    <w:p/>
    <w:p>
      <w:r>
        <w:t xml:space="preserve">Total costs are inclusive of import duties and taxes. This is equipment only — it does not include the other up-front costs in Appendix D (legal/incorporation/licensing/decorating, pre-opening advertising, utility deposit).</w:t>
      </w:r>
    </w:p>
    <w:p>
      <w:pPr>
        <w:pStyle w:val="Heading2"/>
        <w:spacing w:after="120" w:before="240"/>
      </w:pPr>
      <w:r>
        <w:t xml:space="preserve">Appendix C: Monthly Operating Costs and Pricing</w:t>
      </w:r>
    </w:p>
    <w:p>
      <w:r>
        <w:rPr>
          <w:b/>
          <w:bCs/>
        </w:rPr>
        <w:t xml:space="preserve">Fixed monthly costs</w:t>
      </w:r>
      <w:r>
        <w:t xml:space="preserve"> (apply regardless of which financing option is chosen):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Item</w:t>
            </w:r>
          </w:p>
        </w:tc>
        <w:tc>
          <w:tcPr>
            <w:tcW w:type="dxa" w:w="4500"/>
            <w:shd w:fill="DDDDDD" w:val="clear"/>
          </w:tcPr>
          <w:p>
            <w:r>
              <w:t xml:space="preserve">Monthly Cost (JA$)</w:t>
            </w:r>
          </w:p>
        </w:tc>
      </w:tr>
      <w:tr>
        <w:tc>
          <w:tcPr>
            <w:tcW w:type="dxa" w:w="4500"/>
          </w:tcPr>
          <w:p>
            <w:r>
              <w:t xml:space="preserve">Manager's salary</w:t>
            </w:r>
          </w:p>
        </w:tc>
        <w:tc>
          <w:tcPr>
            <w:tcW w:type="dxa" w:w="4500"/>
          </w:tcPr>
          <w:p>
            <w:r>
              <w:t xml:space="preserve">$40,000</w:t>
            </w:r>
          </w:p>
        </w:tc>
      </w:tr>
      <w:tr>
        <w:tc>
          <w:tcPr>
            <w:tcW w:type="dxa" w:w="4500"/>
          </w:tcPr>
          <w:p>
            <w:r>
              <w:t xml:space="preserve">Lease (New Kingston site)</w:t>
            </w:r>
          </w:p>
        </w:tc>
        <w:tc>
          <w:tcPr>
            <w:tcW w:type="dxa" w:w="4500"/>
          </w:tcPr>
          <w:p>
            <w:r>
              <w:t xml:space="preserve">$30,000</w:t>
            </w:r>
          </w:p>
        </w:tc>
      </w:tr>
      <w:tr>
        <w:tc>
          <w:tcPr>
            <w:tcW w:type="dxa" w:w="4500"/>
          </w:tcPr>
          <w:p>
            <w:r>
              <w:t xml:space="preserve">Telephone and utilities</w:t>
            </w:r>
          </w:p>
        </w:tc>
        <w:tc>
          <w:tcPr>
            <w:tcW w:type="dxa" w:w="4500"/>
          </w:tcPr>
          <w:p>
            <w:r>
              <w:t xml:space="preserve">$15,000</w:t>
            </w:r>
          </w:p>
        </w:tc>
      </w:tr>
      <w:tr>
        <w:tc>
          <w:tcPr>
            <w:tcW w:type="dxa" w:w="4500"/>
          </w:tcPr>
          <w:p>
            <w:r>
              <w:t xml:space="preserve">Internet link lease (fixed, from JTL)</w:t>
            </w:r>
          </w:p>
        </w:tc>
        <w:tc>
          <w:tcPr>
            <w:tcW w:type="dxa" w:w="4500"/>
          </w:tcPr>
          <w:p>
            <w:r>
              <w:t xml:space="preserve">$10,000</w:t>
            </w:r>
          </w:p>
        </w:tc>
      </w:tr>
      <w:tr>
        <w:tc>
          <w:tcPr>
            <w:tcW w:type="dxa" w:w="4500"/>
          </w:tcPr>
          <w:p>
            <w:r>
              <w:t xml:space="preserve">Contents insurance premium</w:t>
            </w:r>
          </w:p>
        </w:tc>
        <w:tc>
          <w:tcPr>
            <w:tcW w:type="dxa" w:w="4500"/>
          </w:tcPr>
          <w:p>
            <w:r>
              <w:t xml:space="preserve">$10,000</w:t>
            </w:r>
          </w:p>
        </w:tc>
      </w:tr>
      <w:tr>
        <w:tc>
          <w:tcPr>
            <w:tcW w:type="dxa" w:w="4500"/>
          </w:tcPr>
          <w:p>
            <w:r>
              <w:t xml:space="preserve">Ongoing advertising/marketing/promotion</w:t>
            </w:r>
          </w:p>
        </w:tc>
        <w:tc>
          <w:tcPr>
            <w:tcW w:type="dxa" w:w="4500"/>
          </w:tcPr>
          <w:p>
            <w:r>
              <w:t xml:space="preserve">$10,000</w:t>
            </w:r>
          </w:p>
        </w:tc>
      </w:tr>
      <w:tr>
        <w:tc>
          <w:tcPr>
            <w:tcW w:type="dxa" w:w="4500"/>
          </w:tcPr>
          <w:p>
            <w:r>
              <w:t xml:space="preserve">Miscellaneous administrative and maintenance</w:t>
            </w:r>
          </w:p>
        </w:tc>
        <w:tc>
          <w:tcPr>
            <w:tcW w:type="dxa" w:w="4500"/>
          </w:tcPr>
          <w:p>
            <w:r>
              <w:t xml:space="preserve">$50,000</w:t>
            </w:r>
          </w:p>
        </w:tc>
      </w:tr>
      <w:tr>
        <w:tc>
          <w:tcPr>
            <w:tcW w:type="dxa" w:w="4500"/>
          </w:tcPr>
          <w:p>
            <w:r>
              <w:t xml:space="preserve">Part-time staff wages</w:t>
            </w:r>
          </w:p>
        </w:tc>
        <w:tc>
          <w:tcPr>
            <w:tcW w:type="dxa" w:w="4500"/>
          </w:tcPr>
          <w:p>
            <w:r>
              <w:t xml:space="preserve">see below</w:t>
            </w:r>
          </w:p>
        </w:tc>
      </w:tr>
    </w:tbl>
    <w:p/>
    <w:p>
      <w:r>
        <w:t xml:space="preserve">CIC is open to the public 84 hours a week, six days a week, but needs staff on hand for about 90 hours a week (an average of two employees on duty at a time), all part-time university students in computer science or hospitality, doubling as Internet tutors and waiters, at a wage of $40 per hour.</w:t>
      </w:r>
    </w:p>
    <w:p>
      <w:r>
        <w:rPr>
          <w:b/>
          <w:bCs/>
        </w:rPr>
        <w:t xml:space="preserve">Pricing and per-visit economics:</w:t>
      </w:r>
    </w:p>
    <w:p>
      <w:pPr>
        <w:ind w:left="360"/>
      </w:pPr>
      <w:r>
        <w:t xml:space="preserve">- Computer time is sold in one-hour slots at $120/hour. David estimates 40 percent of customers will pay for computer access; the rest share a computer with a friend or simply use the café/wine lounge without touching a computer.</w:t>
      </w:r>
    </w:p>
    <w:p>
      <w:pPr>
        <w:ind w:left="360"/>
      </w:pPr>
      <w:r>
        <w:t xml:space="preserve">- JTL charges CIC $60 per computer per hour of actual Internet usage (separate from the fixed $10,000/month link lease in Appendix D).</w:t>
      </w:r>
    </w:p>
    <w:p>
      <w:pPr>
        <w:ind w:left="360"/>
      </w:pPr>
      <w:r>
        <w:t xml:space="preserve">- The average customer spends one hour in the café, spending $140 on drinks and $60 on food; CIC's own average cost to serve that is $50 (drinks) and $30 (food).</w:t>
      </w:r>
    </w:p>
    <w:p>
      <w:pPr>
        <w:pStyle w:val="Heading2"/>
        <w:spacing w:after="120" w:before="240"/>
      </w:pPr>
      <w:r>
        <w:t xml:space="preserve">Appendix D: The JTL Offer and Financing Terms</w:t>
      </w:r>
    </w:p>
    <w:p>
      <w:r>
        <w:rPr>
          <w:b/>
          <w:bCs/>
        </w:rPr>
        <w:t xml:space="preserve">Total up-front investment required:</w:t>
      </w:r>
      <w:r>
        <w:t xml:space="preserve"> the Appendix B equipment total ($1,426,000) plus legal fees, incorporation expenses, licenses, permits, and decorating ($120,000 total) plus pre-opening advertising ($20,000) plus an initial utility deposit ($7,000).</w:t>
      </w:r>
    </w:p>
    <w:p>
      <w:r>
        <w:rPr>
          <w:b/>
          <w:bCs/>
        </w:rPr>
        <w:t xml:space="preserve">David's own capital:</w:t>
      </w:r>
      <w:r>
        <w:t xml:space="preserve"> approximately $500,000 in personal savings — the most he is willing to invest, and, after approaching friends, relatives, and other investors without success, the only capital he can currently raise on his own account.</w:t>
      </w:r>
    </w:p>
    <w:p>
      <w:r>
        <w:rPr>
          <w:b/>
          <w:bCs/>
        </w:rPr>
        <w:t xml:space="preserve">The JTL offer (Option B):</w:t>
      </w:r>
      <w:r>
        <w:t xml:space="preserve"> JTL will invest $500,000 in CIC shares (a 50 percent equity partner) and lend the company a further $1,250,000, at a concessionary interest rate of 10 percent per annum.</w:t>
      </w:r>
    </w:p>
    <w:p>
      <w:r>
        <w:rPr>
          <w:b/>
          <w:bCs/>
        </w:rPr>
        <w:t xml:space="preserve">Financing Option A (going alone):</w:t>
      </w:r>
      <w:r>
        <w:t xml:space="preserve"> David keeps 100 percent ownership, but still has to cover the gap between the total up-front investment and his own $500,000 savings — from a lender with no concessionary relationship to CIC. The case's only quoted real-world benchmark for Jamaican borrowing costs at the time is the mortgage rate David himself weighed when deciding whether to lease or buy his café site: </w:t>
      </w:r>
      <w:r>
        <w:rPr>
          <w:b/>
          <w:bCs/>
        </w:rPr>
        <w:t xml:space="preserve">25 percent per annum</w:t>
      </w:r>
      <w:r>
        <w:t xml:space="preserve">, "currently very high." This case models Option A's financing at that same rate — a real, stated Modeling Assumption, not a fabricated number (</w:t>
      </w:r>
      <w:r>
        <w:rPr>
          <w:b/>
          <w:bCs/>
        </w:rPr>
        <w:t xml:space="preserve">SEE APPENDIX F</w:t>
      </w:r>
      <w:r>
        <w:t xml:space="preserve">).</w:t>
      </w:r>
    </w:p>
    <w:p>
      <w:r>
        <w:rPr>
          <w:b/>
          <w:bCs/>
        </w:rPr>
        <w:t xml:space="preserve">Exchange rate:</w:t>
      </w:r>
      <w:r>
        <w:t xml:space="preserve"> all dollar figures in this case are Jamaican dollars (JA$) unless stated otherwise. The exchange rate at the time was approximately JA$25 = Cdn$1 and </w:t>
      </w:r>
      <w:r>
        <w:rPr>
          <w:b/>
          <w:bCs/>
        </w:rPr>
        <w:t xml:space="preserve">JA$35 = US$1</w:t>
      </w:r>
      <w:r>
        <w:t xml:space="preserve"> (used to convert Appendix B's US-dollar unit costs to Jamaican-dollar totals).</w:t>
      </w:r>
    </w:p>
    <w:p>
      <w:pPr>
        <w:pStyle w:val="Heading2"/>
        <w:spacing w:after="120" w:before="240"/>
      </w:pPr>
      <w:r>
        <w:t xml:space="preserve">Appendix E: Market Research — Three Demand Scenarios</w:t>
      </w:r>
    </w:p>
    <w:p>
      <w:r>
        <w:t xml:space="preserve">David estimates CIC's addressable market in Kingston at about </w:t>
      </w:r>
      <w:r>
        <w:rPr>
          <w:b/>
          <w:bCs/>
        </w:rPr>
        <w:t xml:space="preserve">20,000</w:t>
      </w:r>
      <w:r>
        <w:t xml:space="preserve"> people: computer-literate 18–35 year-olds with disposable income. JTL's independent market research firm agreed with that segment size, then produced three separate usage projections for CIC's first year: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Scenario</w:t>
            </w:r>
          </w:p>
        </w:tc>
        <w:tc>
          <w:tcPr>
            <w:tcW w:type="dxa" w:w="3000"/>
            <w:shd w:fill="DDDDDD" w:val="clear"/>
          </w:tcPr>
          <w:p>
            <w:r>
              <w:t xml:space="preserve">Share of segment that visits</w:t>
            </w:r>
          </w:p>
        </w:tc>
        <w:tc>
          <w:tcPr>
            <w:tcW w:type="dxa" w:w="3000"/>
            <w:shd w:fill="DDDDDD" w:val="clear"/>
          </w:tcPr>
          <w:p>
            <w:r>
              <w:t xml:space="preserve">Average visits per visitor per year</w:t>
            </w:r>
          </w:p>
        </w:tc>
      </w:tr>
      <w:tr>
        <w:tc>
          <w:tcPr>
            <w:tcW w:type="dxa" w:w="3000"/>
          </w:tcPr>
          <w:p>
            <w:r>
              <w:t xml:space="preserve">Optimistic</w:t>
            </w:r>
          </w:p>
        </w:tc>
        <w:tc>
          <w:tcPr>
            <w:tcW w:type="dxa" w:w="3000"/>
          </w:tcPr>
          <w:p>
            <w:r>
              <w:t xml:space="preserve">50%</w:t>
            </w:r>
          </w:p>
        </w:tc>
        <w:tc>
          <w:tcPr>
            <w:tcW w:type="dxa" w:w="3000"/>
          </w:tcPr>
          <w:p>
            <w:r>
              <w:t xml:space="preserve">5</w:t>
            </w:r>
          </w:p>
        </w:tc>
      </w:tr>
      <w:tr>
        <w:tc>
          <w:tcPr>
            <w:tcW w:type="dxa" w:w="3000"/>
          </w:tcPr>
          <w:p>
            <w:r>
              <w:t xml:space="preserve">Realistic</w:t>
            </w:r>
          </w:p>
        </w:tc>
        <w:tc>
          <w:tcPr>
            <w:tcW w:type="dxa" w:w="3000"/>
          </w:tcPr>
          <w:p>
            <w:r>
              <w:t xml:space="preserve">40%</w:t>
            </w:r>
          </w:p>
        </w:tc>
        <w:tc>
          <w:tcPr>
            <w:tcW w:type="dxa" w:w="3000"/>
          </w:tcPr>
          <w:p>
            <w:r>
              <w:t xml:space="preserve">3</w:t>
            </w:r>
          </w:p>
        </w:tc>
      </w:tr>
      <w:tr>
        <w:tc>
          <w:tcPr>
            <w:tcW w:type="dxa" w:w="3000"/>
          </w:tcPr>
          <w:p>
            <w:r>
              <w:t xml:space="preserve">Pessimistic</w:t>
            </w:r>
          </w:p>
        </w:tc>
        <w:tc>
          <w:tcPr>
            <w:tcW w:type="dxa" w:w="3000"/>
          </w:tcPr>
          <w:p>
            <w:r>
              <w:t xml:space="preserve">30%</w:t>
            </w:r>
          </w:p>
        </w:tc>
        <w:tc>
          <w:tcPr>
            <w:tcW w:type="dxa" w:w="3000"/>
          </w:tcPr>
          <w:p>
            <w:r>
              <w:t xml:space="preserve">2</w:t>
            </w:r>
          </w:p>
        </w:tc>
      </w:tr>
    </w:tbl>
    <w:p/>
    <w:p>
      <w:r>
        <w:t xml:space="preserve">Each of these is a full first-year </w:t>
      </w:r>
      <w:r>
        <w:rPr>
          <w:i/>
          <w:iCs/>
        </w:rPr>
        <w:t xml:space="preserve">rate</w:t>
      </w:r>
      <w:r>
        <w:t xml:space="preserve">, not a monthly figure — converting a scenario into a usable monthly visit count is part of the work.</w:t>
      </w:r>
    </w:p>
    <w:p>
      <w:pPr>
        <w:pStyle w:val="Heading2"/>
        <w:spacing w:after="120" w:before="240"/>
      </w:pPr>
      <w:r>
        <w:t xml:space="preserve">Appendix F: Modeling Assumptions</w:t>
      </w:r>
    </w:p>
    <w:p>
      <w:r>
        <w:rPr>
          <w:b/>
          <w:bCs/>
        </w:rPr>
        <w:t xml:space="preserve">MA1 — Option A's financing rate is assumed, not quoted.</w:t>
      </w:r>
      <w:r>
        <w:t xml:space="preserve"> JTL's 10 percent loan rate is a real, quoted, concessionary offer specific to Option B. The case gives no equivalent quote for an independent loan to finance Option A's funding gap. This case models Option A at the 25 percent Jamaican mortgage rate the case itself quotes elsewhere (Appendix D) as the going rate for a comparably-sized, comparably-risky loan at the time — a real, cited figure from the same source document, applied here by assumption because CIC's own case never quotes David an independent lender's rate directly. A different real lender could plausibly quote David something else.</w:t>
      </w:r>
    </w:p>
    <w:p>
      <w:r>
        <w:rPr>
          <w:b/>
          <w:bCs/>
        </w:rPr>
        <w:t xml:space="preserve">MA2 — a visit's Internet cost tracks its Internet revenue.</w:t>
      </w:r>
      <w:r>
        <w:t xml:space="preserve"> Appendix C says 40 percent of customers pay for computer access and the rest either share a computer with a paying customer or don't use one at all. This case assumes JTL's $60-per-computer-per-hour usage charge is incurred exactly when a customer </w:t>
      </w:r>
      <w:r>
        <w:rPr>
          <w:i/>
          <w:iCs/>
        </w:rPr>
        <w:t xml:space="preserve">pays</w:t>
      </w:r>
      <w:r>
        <w:t xml:space="preserve"> for computer time (i.e., a "shared" customer rides along on an already-paid, already-billed computer-hour rather than triggering a second one) — a simplification of how sharing actually works in practice.</w:t>
      </w:r>
    </w:p>
    <w:p>
      <w:r>
        <w:rPr>
          <w:b/>
          <w:bCs/>
        </w:rPr>
        <w:t xml:space="preserve">MA3 — a calendar month is treated as 52⁄12 weeks</w:t>
      </w:r>
      <w:r>
        <w:t xml:space="preserve"> (about 4.33 weeks) when converting Appendix C's weekly staff-hour figure into a monthly labor cost, and when converting Appendix E's annual visit rates into monthly figures. A real calendar has months of different lengths; this case uses the standard average.</w:t>
      </w:r>
    </w:p>
    <w:p>
      <w:r>
        <w:rPr>
          <w:b/>
          <w:bCs/>
        </w:rPr>
        <w:t xml:space="preserve">MA4 — Appendix C's staff-hours figure is read as a total, not a multiplier.</w:t>
      </w:r>
      <w:r>
        <w:t xml:space="preserve"> Appendix C states CIC "needs staff on hand for about 90 hours a week (an average of two employees on duty at a time)." That sentence supports two different readings: (1) the 90 hours is already the total weekly labor-hours CIC pays for, with "an average of two employees on duty" describing texture, not arithmetic — this case's reading; or (2) the 90 hours is a coverage figure, and total weekly labor-hours are 90 × 2 = 180, because an average of two staff are on duty across those 90 hours. The case does not disambiguate which is intended. This case adopts reading (1) throughout D1–D4's cost figures.</w:t>
      </w:r>
    </w:p>
    <w:p>
      <w:pPr>
        <w:pStyle w:val="Heading2"/>
        <w:spacing w:after="120" w:before="240"/>
      </w:pPr>
      <w:r>
        <w:t xml:space="preserve">Appendix G — Learn More</w:t>
      </w:r>
    </w:p>
    <w:p>
      <w:r>
        <w:t xml:space="preserve">These are real, currently-live resources for students who want to go beyond this case's required math and learn more about its real-world subject. Not required reading, and not graded.</w:t>
      </w:r>
    </w:p>
    <w:p>
      <w:pPr>
        <w:ind w:left="360"/>
      </w:pPr>
      <w:r>
        <w:t xml:space="preserve">- </w:t>
      </w:r>
      <w:hyperlink w:history="1" r:id="rIddp_mdaln4r99cys6fepee">
        <w:r>
          <w:rPr>
            <w:rStyle w:val="Hyperlink"/>
          </w:rPr>
          <w:t xml:space="preserve">Caribbean Internet Café, Ivey Publishing case 998B02</w:t>
        </w:r>
      </w:hyperlink>
      <w:r>
        <w:t xml:space="preserve"> — the official product page for the real, published Richard Ivey School of Business teaching case this story is based on.</w:t>
      </w:r>
    </w:p>
    <w:p>
      <w:pPr>
        <w:ind w:left="360"/>
      </w:pPr>
      <w:r>
        <w:t xml:space="preserve">- </w:t>
      </w:r>
      <w:hyperlink w:history="1" r:id="rIdbjxudwj6cm7zpre0fvv8c">
        <w:r>
          <w:rPr>
            <w:rStyle w:val="Hyperlink"/>
          </w:rPr>
          <w:t xml:space="preserve">Cyberia, London (Wikipedia)</w:t>
        </w:r>
      </w:hyperlink>
      <w:r>
        <w:t xml:space="preserve"> — the story of the world's first Internet café, opened in 1994, the same category of business David is proposing for Kingston.</w:t>
      </w:r>
    </w:p>
    <w:p>
      <w:pPr>
        <w:ind w:left="360"/>
      </w:pPr>
      <w:r>
        <w:t xml:space="preserve">- </w:t>
      </w:r>
      <w:hyperlink w:history="1" r:id="rId23jbqs2lgpbshdfssrazg">
        <w:r>
          <w:rPr>
            <w:rStyle w:val="Hyperlink"/>
          </w:rPr>
          <w:t xml:space="preserve">Telecommunications in Jamaica (Wikipedia)</w:t>
        </w:r>
      </w:hyperlink>
      <w:r>
        <w:t xml:space="preserve"> — how Jamaica's telecom market, including JTL's monopoly-era position, changed after the country's late-1990s liberalization.</w:t>
      </w:r>
    </w:p>
    <w:p>
      <w:pPr>
        <w:ind w:left="360"/>
      </w:pPr>
      <w:r>
        <w:t xml:space="preserve">- </w:t>
      </w:r>
      <w:hyperlink w:history="1" r:id="rIdz7ftatmyfsp0iqlj5q9cb">
        <w:r>
          <w:rPr>
            <w:rStyle w:val="Hyperlink"/>
          </w:rPr>
          <w:t xml:space="preserve">The world's last internet cafes (Rest of World, 2023)</w:t>
        </w:r>
      </w:hyperlink>
      <w:r>
        <w:t xml:space="preserve"> — a reported look at what happened to internet cafés worldwide as home broadband and smartphones spread, and where a few still survive.</w:t>
      </w:r>
    </w:p>
    <w:p>
      <w:r>
        <w:rPr>
          <w:i/>
          <w:iCs/>
        </w:rPr>
        <w:t xml:space="preserve">Links verified live 2026-08-18.</w:t>
      </w:r>
    </w:p>
    <w:p>
      <w:pPr>
        <w:pStyle w:val="Heading2"/>
        <w:spacing w:after="120" w:before="240"/>
      </w:pPr>
      <w:r>
        <w:t xml:space="preserve">Appendix H — "How To…" Math Questions To Research</w:t>
      </w:r>
    </w:p>
    <w:p>
      <w:r>
        <w:rPr>
          <w:b/>
          <w:bCs/>
        </w:rPr>
        <w:t xml:space="preserve">Vocabulary terms</w:t>
      </w:r>
    </w:p>
    <w:p>
      <w:pPr>
        <w:ind w:left="360"/>
      </w:pPr>
      <w:r>
        <w:t xml:space="preserve">- Percent</w:t>
      </w:r>
    </w:p>
    <w:p>
      <w:pPr>
        <w:ind w:left="360"/>
      </w:pPr>
      <w:r>
        <w:t xml:space="preserve">- Decimal</w:t>
      </w:r>
    </w:p>
    <w:p>
      <w:pPr>
        <w:ind w:left="360"/>
      </w:pPr>
      <w:r>
        <w:t xml:space="preserve">- Division</w:t>
      </w:r>
    </w:p>
    <w:p>
      <w:pPr>
        <w:ind w:left="360"/>
      </w:pPr>
      <w:r>
        <w:t xml:space="preserve">- Quotient</w:t>
      </w:r>
    </w:p>
    <w:p>
      <w:pPr>
        <w:ind w:left="360"/>
      </w:pPr>
      <w:r>
        <w:t xml:space="preserve">- Addition</w:t>
      </w:r>
    </w:p>
    <w:p>
      <w:pPr>
        <w:ind w:left="360"/>
      </w:pPr>
      <w:r>
        <w:t xml:space="preserve">- Sum</w:t>
      </w:r>
    </w:p>
    <w:p>
      <w:pPr>
        <w:ind w:left="360"/>
      </w:pPr>
      <w:r>
        <w:t xml:space="preserve">- Rounding</w:t>
      </w:r>
    </w:p>
    <w:p>
      <w:pPr>
        <w:ind w:left="360"/>
      </w:pPr>
      <w:r>
        <w:t xml:space="preserve">- Bar Graph</w:t>
      </w:r>
    </w:p>
    <w:p>
      <w:pPr>
        <w:ind w:left="360"/>
      </w:pPr>
      <w:r>
        <w:t xml:space="preserve">- Place Value</w:t>
      </w:r>
    </w:p>
    <w:p>
      <w:r>
        <w:rPr>
          <w:b/>
          <w:bCs/>
        </w:rPr>
        <w:t xml:space="preserve">"How to…" questions</w:t>
      </w:r>
    </w:p>
    <w:p>
      <w:pPr>
        <w:ind w:left="360"/>
      </w:pPr>
      <w:r>
        <w:t xml:space="preserve">- How to convert numbers to percents</w:t>
      </w:r>
    </w:p>
    <w:p>
      <w:pPr>
        <w:ind w:left="360"/>
      </w:pPr>
      <w:r>
        <w:t xml:space="preserve">- How to find the percent of a number</w:t>
      </w:r>
    </w:p>
    <w:p>
      <w:pPr>
        <w:ind w:left="360"/>
      </w:pPr>
      <w:r>
        <w:t xml:space="preserve">- How to divide decimal numbers</w:t>
      </w:r>
    </w:p>
    <w:p>
      <w:pPr>
        <w:ind w:left="360"/>
      </w:pPr>
      <w:r>
        <w:t xml:space="preserve">- How to add decimal numbers</w:t>
      </w:r>
    </w:p>
    <w:p>
      <w:pPr>
        <w:ind w:left="360"/>
      </w:pPr>
      <w:r>
        <w:t xml:space="preserve">- How to round a number to a specified place value</w:t>
      </w:r>
    </w:p>
    <w:p>
      <w:pPr>
        <w:ind w:left="360"/>
      </w:pPr>
      <w:r>
        <w:t xml:space="preserve">- How to convert an amount from one unit to another unit</w:t>
      </w:r>
    </w:p>
    <w:p>
      <w:pPr>
        <w:ind w:left="360"/>
      </w:pPr>
      <w:r>
        <w:t xml:space="preserve">- How to convert an amount with compound units</w:t>
      </w:r>
    </w:p>
    <w:p>
      <w:pPr>
        <w:ind w:left="360"/>
      </w:pPr>
      <w:r>
        <w:t xml:space="preserve">- How to compare two or more values</w:t>
      </w:r>
    </w:p>
    <w:p>
      <w:pPr>
        <w:ind w:left="360"/>
      </w:pPr>
      <w:r>
        <w:t xml:space="preserve">- How to add multi-digit numbers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p_mdaln4r99cys6fepee" Type="http://schemas.openxmlformats.org/officeDocument/2006/relationships/hyperlink" Target="https://store.hbr.org/product/caribbean-internet-cafe/998B02" TargetMode="External"/><Relationship Id="rIdbjxudwj6cm7zpre0fvv8c" Type="http://schemas.openxmlformats.org/officeDocument/2006/relationships/hyperlink" Target="https://en.wikipedia.org/wiki/Cyberia,_London" TargetMode="External"/><Relationship Id="rId23jbqs2lgpbshdfssrazg" Type="http://schemas.openxmlformats.org/officeDocument/2006/relationships/hyperlink" Target="https://en.wikipedia.org/wiki/Telecommunications_in_Jamaica" TargetMode="External"/><Relationship Id="rIdz7ftatmyfsp0iqlj5q9cb" Type="http://schemas.openxmlformats.org/officeDocument/2006/relationships/hyperlink" Target="https://restofworld.org/2023/internet-caf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2026-08-18T07:32:43.718Z</dcterms:created>
  <dcterms:modified xsi:type="dcterms:W3CDTF">2026-08-18T07:32:43.719Z</dcterms:modified>
</cp:coreProperties>
</file>

<file path=docProps/custom.xml><?xml version="1.0" encoding="utf-8"?>
<Properties xmlns="http://schemas.openxmlformats.org/officeDocument/2006/custom-properties" xmlns:vt="http://schemas.openxmlformats.org/officeDocument/2006/docPropsVTypes"/>
</file>