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2"/>
          <w:szCs w:val="32"/>
        </w:rPr>
        <w:t xml:space="preserve">Facilitator Guide — College Admissions</w:t>
      </w:r>
    </w:p>
    <w:p>
      <w:pPr>
        <w:spacing w:after="160"/>
      </w:pPr>
      <w:r>
        <w:rPr>
          <w:b/>
          <w:bCs/>
          <w:color w:val="990000"/>
          <w:sz w:val="22"/>
          <w:szCs w:val="22"/>
        </w:rPr>
        <w:t xml:space="preserve">MS | Heroes Academy | Anchor-ladder format · FACILITATOR ONLY — do not distribute to students</w:t>
      </w:r>
    </w:p>
    <w:p>
      <w:pPr>
        <w:pBdr>
          <w:bottom w:val="single" w:color="999999"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60"/>
              <w:left w:type="dxa" w:w="200"/>
              <w:bottom w:type="dxa" w:w="160"/>
              <w:right w:type="dxa" w:w="200"/>
            </w:tcMar>
          </w:tcPr>
          <w:p>
            <w:pPr>
              <w:spacing w:after="160"/>
            </w:pPr>
            <w:r>
              <w:rPr>
                <w:b/>
                <w:bCs/>
              </w:rPr>
              <w:t xml:space="preserve">Sensitivity note (SPEC §6) — read before running D5</w:t>
            </w:r>
          </w:p>
          <w:p>
            <w:pPr>
              <w:spacing w:after="160"/>
            </w:pPr>
            <w:r>
              <w:t xml:space="preserve">D5's raw-count-above comparison depends on MA2's national-average school-size substitution for Harrison. Flexing that assumed enrollment figure by ±50% changes Harrison's estimated headcount by roughly 3x across the swept range, but the direction never changes: Harrison's estimated headcount-above stays lower than Tisha's fixed ~96 at every flex point tested. The graded primary metric (D4's SAT-gap percentage) does not depend on this assumption at all — both SAT scores are given verbatim in the applicants' own files — and is stable by construction. Present D5 to students as a reasoned estimate whose direction is fairly robust but whose exact size is not verified.</w:t>
            </w:r>
          </w:p>
        </w:tc>
      </w:tr>
    </w:tbl>
    <w:p>
      <w:pPr>
        <w:spacing w:after="160"/>
      </w:pPr>
      <w:r>
        <w:t xml:space="preserve"/>
      </w:r>
    </w:p>
    <w:p>
      <w:pPr>
        <w:pStyle w:val="Heading1"/>
        <w:spacing w:after="120" w:before="240"/>
      </w:pPr>
      <w:r>
        <w:t xml:space="preserve">The two arguments and the margin</w:t>
      </w:r>
    </w:p>
    <w:p>
      <w:pPr>
        <w:spacing w:after="160"/>
      </w:pPr>
      <w:r>
        <w:rPr>
          <w:b/>
          <w:bCs/>
        </w:rPr>
        <w:t xml:space="preserve">Primary metric: SAT Composite point gap between Tisha Ackerman and Harrison Carter, expressed as a percent of the lower score.</w:t>
      </w:r>
    </w:p>
    <w:p>
      <w:pPr>
        <w:spacing w:after="160"/>
      </w:pPr>
      <w:r>
        <w:rPr>
          <w:b/>
          <w:bCs/>
        </w:rPr>
        <w:t xml:space="preserve">Margin: 2.7% — stable by construction (both scores are given verbatim, not computed from any flexible assumption). Winner on this metric: Harrison Carter (B).</w:t>
      </w:r>
    </w:p>
    <w:p>
      <w:pPr>
        <w:spacing w:after="160"/>
      </w:pPr>
      <w:r>
        <w:t xml:space="preserve">Argument for A (Tisha Ackerman): Her unweighted GPA (3.73) beats Harrison's (3.69), and her stated class-rank percentile (3rd) is numerically better than his (7th). She is a first-generation college student from a lower-income background, a profile Stanford's own published data on rank and background says the committee actively weighs, and her AP scores in Physics C Mechanics and English Lang are both perfect 5s in a rigorous course load.</w:t>
      </w:r>
    </w:p>
    <w:p>
      <w:pPr>
        <w:spacing w:after="160"/>
      </w:pPr>
      <w:r>
        <w:t xml:space="preserve">Argument for B (Harrison Carter): His SAT Composite (1520) and ACT Composite (34) both beat Tisha's (1480 / 32) and sit closer to — in the ACT's case, inside — Stanford's published middle-50% admitted range. He took more AP exams (6 vs. 4) with a higher average score (4.83 vs. 4.5), including three perfect 5s, is requesting financial aid, and holds a concrete technical credential (an Intel apprenticeship) directly relevant to his stated major.</w:t>
      </w:r>
    </w:p>
    <w:p>
      <w:pPr>
        <w:spacing w:after="160"/>
      </w:pPr>
      <w:r>
        <w:t xml:space="preserve">Neither side collapses: D4's numeric margin (2.7%) favors Harrison; GPA and class rank favor Tisha; the case has no single formula that resolves the tie.</w:t>
      </w:r>
    </w:p>
    <w:p>
      <w:pPr>
        <w:pStyle w:val="Heading1"/>
        <w:spacing w:after="120" w:before="240"/>
      </w:pPr>
      <w:r>
        <w:t xml:space="preserve">Legacy source note</w:t>
      </w:r>
    </w:p>
    <w:p>
      <w:pPr>
        <w:spacing w:after="160"/>
      </w:pPr>
      <w:r>
        <w:rPr>
          <w:i/>
          <w:iCs/>
        </w:rPr>
        <w:t xml:space="preserve">source/Y1/Session 3/College Admissions/Guide Notes.docx was not present in the legacy folder (only the case study docx, an acceptance-letter PDF, and a stale 2019-2020 Common Data Set PDF were provided). This guide is authored fresh against the current 11-anchor ladder; there is no prior Guide Notes content to migrate or preserve.</w:t>
      </w:r>
    </w:p>
    <w:p>
      <w:r>
        <w:br w:type="page"/>
      </w:r>
    </w:p>
    <w:p>
      <w:pPr>
        <w:pStyle w:val="Heading1"/>
        <w:spacing w:after="120" w:before="240"/>
      </w:pPr>
      <w:r>
        <w:t xml:space="preserve">Intro</w:t>
      </w:r>
    </w:p>
    <w:p>
      <w:pPr>
        <w:spacing w:after="160"/>
      </w:pPr>
      <w:r>
        <w:t xml:space="preserve">Frame the format: this is a real decision structure (one open seat, two strong finalists) that real admissions officers actually face every cycle. Don't open with the data. Open with the two folders on the table and the question hanging in the room: "Who's it going to be?"</w:t>
      </w:r>
    </w:p>
    <w:p>
      <w:pPr>
        <w:pStyle w:val="Heading1"/>
        <w:spacing w:after="120" w:before="240"/>
      </w:pPr>
      <w:r>
        <w:t xml:space="preserve">Launch</w:t>
      </w:r>
    </w:p>
    <w:p>
      <w:pPr>
        <w:spacing w:after="160"/>
      </w:pPr>
      <w:r>
        <w:t xml:space="preserve">Read the Overview aloud. Stop exactly where the case stops — Jack Ygarret's mouth open, no answer yet. Do not hand out Appendices C and D until Anchor 1's vote is taken.</w:t>
      </w:r>
    </w:p>
    <w:p>
      <w:pPr>
        <w:pStyle w:val="Heading1"/>
        <w:spacing w:after="120" w:before="240"/>
      </w:pPr>
      <w:r>
        <w:t xml:space="preserve">Anchor 1 — Take a stand and vote</w:t>
      </w:r>
    </w:p>
    <w:p>
      <w:pPr>
        <w:spacing w:after="160"/>
      </w:pPr>
      <w:r>
        <w:t xml:space="preserve">"Knowing nothing yet but that these are the two finalists — Tisha or Harrison — who are you admitting?" Cold-call for a gut vote before any data is shown. Write the split on the board.</w:t>
      </w:r>
    </w:p>
    <w:p>
      <w:pPr>
        <w:pStyle w:val="Heading1"/>
        <w:spacing w:after="120" w:before="240"/>
      </w:pPr>
      <w:r>
        <w:t xml:space="preserve">Anchor 2 — What is the problem we're solving?</w:t>
      </w:r>
    </w:p>
    <w:p>
      <w:pPr>
        <w:spacing w:after="160"/>
      </w:pPr>
      <w:r>
        <w:t xml:space="preserve">"What are we actually trying to compare here?" Let the room articulate, in their own words, that they need a way to weigh two different applicants against each other and against what Stanford's own data says its admitted class looks like. If the room lands on "which one is more like a typical Stanford student," that is close enough to Appendix A's purpose — name it and move on.</w:t>
      </w:r>
    </w:p>
    <w:p>
      <w:pPr>
        <w:pStyle w:val="Heading1"/>
        <w:spacing w:after="120" w:before="240"/>
      </w:pPr>
      <w:r>
        <w:t xml:space="preserve">Anchor 3 — What is the process?</w:t>
      </w:r>
    </w:p>
    <w:p>
      <w:pPr>
        <w:spacing w:after="160"/>
      </w:pPr>
      <w:r>
        <w:t xml:space="preserve">"If we had to be fair to both applicants, what would we actually measure?" Push toward a concrete list: test scores, GPA, class rank, and whatever Stanford itself publishes as a benchmark. This is where Appendices A-D get handed out.</w:t>
      </w:r>
    </w:p>
    <w:p>
      <w:pPr>
        <w:pStyle w:val="Heading1"/>
        <w:spacing w:after="120" w:before="240"/>
      </w:pPr>
      <w:r>
        <w:t xml:space="preserve">Anchor 4 — What don't we know?</w:t>
      </w:r>
    </w:p>
    <w:p>
      <w:pPr>
        <w:spacing w:after="160"/>
      </w:pPr>
      <w:r>
        <w:t xml:space="preserve">"What's missing from these two files?" Let the room notice, ideally unprompted, that Harrison's application never states his high school's size — while Tisha's does. Bank this; do not resolve it yet. It is exactly what D5 and the Twist come back to.</w:t>
      </w:r>
    </w:p>
    <w:p>
      <w:pPr>
        <w:pStyle w:val="Heading1"/>
        <w:spacing w:after="120" w:before="240"/>
      </w:pPr>
      <w:r>
        <w:t xml:space="preserve">Data Deep Dive</w:t>
      </w:r>
    </w:p>
    <w:p>
      <w:pPr>
        <w:spacing w:after="160"/>
      </w:pPr>
      <w:r>
        <w:t xml:space="preserve">Let Heroes work D1-D3 (the box-and-whisker plot, the scatter plot, and the 5-data-point table) before anyone starts D4's SAT-gap computation or D5's percentile-to-raw-count conversion.</w:t>
      </w:r>
    </w:p>
    <w:p>
      <w:pPr>
        <w:pStyle w:val="Heading1"/>
        <w:spacing w:after="120" w:before="240"/>
      </w:pPr>
      <w:r>
        <w:t xml:space="preserve">Twist</w:t>
      </w:r>
    </w:p>
    <w:p>
      <w:pPr>
        <w:spacing w:after="160"/>
      </w:pPr>
      <w:r>
        <w:rPr>
          <w:b/>
          <w:bCs/>
        </w:rPr>
        <w:t xml:space="preserve">Drop this at roughly the 15-20 minute mark, after the room has read "Tisha: 3rd percentile" vs. "Harrison: 7th percentile" and (very likely) already treated Tisha's number as the clearly stronger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60"/>
              <w:left w:type="dxa" w:w="200"/>
              <w:bottom w:type="dxa" w:w="160"/>
              <w:right w:type="dxa" w:w="200"/>
            </w:tcMar>
          </w:tcPr>
          <w:p>
            <w:pPr>
              <w:spacing w:after="160"/>
            </w:pPr>
            <w:r>
              <w:rPr>
                <w:i/>
                <w:iCs/>
              </w:rPr>
              <w:t xml:space="preserve">"One more thing. A class-rank percentile only tells you a fraction of the class — it doesn't tell you how many actual people that fraction represents. Tisha's school has more than 3,200 students. Harrison's application doesn't say how big his school is at all. Before you compare '3rd percentile' to '7th percentile' as if they mean the same thing, figure out: how many classmates does each number actually put above Tisha and Harrison?"</w:t>
            </w:r>
          </w:p>
        </w:tc>
      </w:tr>
    </w:tbl>
    <w:p>
      <w:pPr>
        <w:spacing w:after="160"/>
      </w:pPr>
      <w:r>
        <w:t xml:space="preserve"/>
      </w:r>
    </w:p>
    <w:p>
      <w:pPr>
        <w:spacing w:after="160"/>
      </w:pPr>
      <w:r>
        <w:t xml:space="preserve">What this invalidates: the comfortable read that a smaller percentile number is automatically the stronger rank. It doesn't invalidate percentile rank as real information — it means percentile rank alone, without a school size, is not yet a comparable number across two different schools.</w:t>
      </w:r>
    </w:p>
    <w:p>
      <w:pPr>
        <w:spacing w:after="160"/>
      </w:pPr>
      <w:r>
        <w:t xml:space="preserve">The follow-up (the whole point): "Once you convert both percentiles into an actual headcount, does your ranking still hold? What did you have to assume to even get a headcount for Harrison, and how much do you trust that assumption?" Push the room to notice that Harrison's headcount depends entirely on a national-average stand-in (Appendix B) — a real number, but not his real number. This is the transferable skill: a normalized statistic (a percentile, a rate, a per-capita figure) can silently hide the population it was computed against.</w:t>
      </w:r>
    </w:p>
    <w:p>
      <w:pPr>
        <w:pStyle w:val="Heading1"/>
        <w:spacing w:after="120" w:before="240"/>
      </w:pPr>
      <w:r>
        <w:t xml:space="preserve">The trap, named explicitly</w:t>
      </w:r>
    </w:p>
    <w:p>
      <w:pPr>
        <w:spacing w:after="160"/>
      </w:pPr>
      <w:r>
        <w:t xml:space="preserve">A Hero reads "Tisha: 3rd percentile" and "Harrison: 7th percentile" and concludes Tisha's class rank is unambiguously the stronger credential, because 3 is a smaller number than 7. This is the plausible reasoning that produces a confident, incomplete answer: a percentile rank is only meaningful relative to the size of the class it was measured in, and the case never states Harrison's school size at all. A Hero who works D5 correctly has to notice this gap, choose a real, sourced stand-in for the missing number (Appendix B), and recompute both applicants' estimated raw headcount before the percentile comparison actually means what it appears to mean. Facilitators should let the room commit to "3rd beats 7th, obviously" out loud in Anchor 4 before the Twist and D5 complicate it — that reversal, or non-reversal depending on the numbers a student lands on, is the case's real payoff.</w:t>
      </w:r>
    </w:p>
    <w:p>
      <w:pPr>
        <w:pStyle w:val="Heading1"/>
        <w:spacing w:after="120" w:before="240"/>
      </w:pPr>
      <w:r>
        <w:t xml:space="preserve">Close (10 minutes left)</w:t>
      </w:r>
    </w:p>
    <w:p>
      <w:pPr>
        <w:spacing w:after="160"/>
      </w:pPr>
      <w:r>
        <w:t xml:space="preserve">VOTE AGAIN. "Did the school-size headcount change your mind? If it didn't, say why not — a stable answer under new information is a real, defensible answer, not automatically a mistake." Ask who moved because of D4's SAT-gap computation versus who moved because of D5's headcount reveal — those are two different kinds of reasoning shift and worth separating out loud.</w:t>
      </w:r>
    </w:p>
    <w:p>
      <w:pPr>
        <w:pStyle w:val="Heading1"/>
        <w:spacing w:after="120" w:before="240"/>
      </w:pPr>
      <w:r>
        <w:t xml:space="preserve">Lessons Learned</w:t>
      </w:r>
    </w:p>
    <w:p>
      <w:pPr>
        <w:spacing w:after="160"/>
      </w:pPr>
      <w:r>
        <w:t xml:space="preserve">There is no single "correct" admit here, and that is the point: Jack Ygarret's real job requires weighing GPA, test scores, class rank, and context against each other with no formula that resolves the tie for him. The case's real payoff is narrower and more concrete: a percentile number, by itself, is not a complete statistic — it always implicitly depends on the size of the population it was measured against, and comparing two percentiles from two different-sized populations without accounting for that is a common, plausible-sounding error.</w:t>
      </w:r>
    </w:p>
    <w:p>
      <w:pPr>
        <w:pStyle w:val="Heading1"/>
        <w:spacing w:after="120" w:before="240"/>
      </w:pPr>
      <w:r>
        <w:t xml:space="preserve">What a strong defense sounds like</w:t>
      </w:r>
    </w:p>
    <w:p>
      <w:pPr>
        <w:spacing w:after="160"/>
      </w:pPr>
      <w:r>
        <w:t xml:space="preserve">Not an answer key — there is no single right admit here. A strong defense names its metric explicitly (not just "Harrison had better scores" but which scores, by how much, and as a percent of what). It engages the counterargument directly rather than ignoring it — a strong pitch for Harrison still has to say something about Tisha's GPA and class rank, and vice versa. It shows the D5 arithmetic rather than asserting a headcount, and it names the assumption D5 depends on (Appendix B's national-average stand-in) rather than treating that number as a fact. It can also defend a position that didn't flip after the Twist, as long as it says why the headcount reveal didn't change the calculus — a stable answer under new information is not automatically weaker than a reversed one.</w:t>
      </w:r>
    </w:p>
    <w:p>
      <w:r>
        <w:br w:type="page"/>
      </w:r>
    </w:p>
    <w:p>
      <w:pPr>
        <w:pStyle w:val="Heading1"/>
        <w:spacing w:after="120" w:before="240"/>
      </w:pPr>
      <w:r>
        <w:t xml:space="preserve">Five Socratic questions</w:t>
      </w:r>
    </w:p>
    <w:p>
      <w:pPr>
        <w:pStyle w:val="ListParagraph"/>
        <w:numPr>
          <w:ilvl w:val="0"/>
          <w:numId w:val="2"/>
        </w:numPr>
        <w:spacing w:after="80"/>
      </w:pPr>
      <w:r>
        <w:t xml:space="preserve">Tisha's class-rank percentile (3rd) is a smaller number than Harrison's (7th). Why doesn't that automatically mean fewer students academically outrank her?</w:t>
      </w:r>
    </w:p>
    <w:p>
      <w:pPr>
        <w:pStyle w:val="ListParagraph"/>
        <w:numPr>
          <w:ilvl w:val="0"/>
          <w:numId w:val="2"/>
        </w:numPr>
        <w:spacing w:after="80"/>
      </w:pPr>
      <w:r>
        <w:t xml:space="preserve">You estimated roughly 96 students rank above Tisha at her 3,200-student school. What two numbers did you multiply to get that, and what would change if her school had half as many students?</w:t>
      </w:r>
    </w:p>
    <w:p>
      <w:pPr>
        <w:pStyle w:val="ListParagraph"/>
        <w:numPr>
          <w:ilvl w:val="0"/>
          <w:numId w:val="2"/>
        </w:numPr>
        <w:spacing w:after="80"/>
      </w:pPr>
      <w:r>
        <w:t xml:space="preserve">Harrison's application never states his school's size. What did you use instead, where did that number come from, and how confident are you that it's close to his school's actual size?</w:t>
      </w:r>
    </w:p>
    <w:p>
      <w:pPr>
        <w:pStyle w:val="ListParagraph"/>
        <w:numPr>
          <w:ilvl w:val="0"/>
          <w:numId w:val="2"/>
        </w:numPr>
        <w:spacing w:after="80"/>
      </w:pPr>
      <w:r>
        <w:t xml:space="preserve">D4 says Harrison's SAT Composite beats Tisha's by 2.7% of her score. Is that gap, by itself, a strong enough reason to admit Harrison over Tisha? What else in Appendices C and D would you want to weigh against it?</w:t>
      </w:r>
    </w:p>
    <w:p>
      <w:pPr>
        <w:pStyle w:val="ListParagraph"/>
        <w:numPr>
          <w:ilvl w:val="0"/>
          <w:numId w:val="2"/>
        </w:numPr>
        <w:spacing w:after="80"/>
      </w:pPr>
      <w:r>
        <w:t xml:space="preserve">Stanford's published SAT Composite middle-50% range is 1,510-1,570. Tisha's score (1,480) sits below that range entirely. Does that automatically disqualify her application? What in her file might the committee weigh against a below-range test score?</w:t>
      </w:r>
    </w:p>
    <w:p>
      <w:pPr>
        <w:pStyle w:val="Heading1"/>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2F5496" w:val="clear"/>
          </w:tcPr>
          <w:p>
            <w:r>
              <w:rPr>
                <w:b/>
                <w:bCs/>
                <w:color w:val="FFFFFF"/>
              </w:rPr>
              <w:t xml:space="preserve">Time</w:t>
            </w:r>
          </w:p>
        </w:tc>
        <w:tc>
          <w:tcPr>
            <w:tcW w:type="dxa" w:w="7560"/>
            <w:shd w:fill="2F5496" w:val="clear"/>
          </w:tcPr>
          <w:p>
            <w:r>
              <w:rPr>
                <w:b/>
                <w:bCs/>
                <w:color w:val="FFFFFF"/>
              </w:rPr>
              <w:t xml:space="preserve">Move</w:t>
            </w:r>
          </w:p>
        </w:tc>
      </w:tr>
      <w:tr>
        <w:tc>
          <w:tcPr>
            <w:tcW w:type="dxa" w:w="1800"/>
            <w:shd w:fill="FFFFFF" w:val="clear"/>
          </w:tcPr>
          <w:p>
            <w:r>
              <w:t xml:space="preserve">0:00-3:00</w:t>
            </w:r>
          </w:p>
        </w:tc>
        <w:tc>
          <w:tcPr>
            <w:tcW w:type="dxa" w:w="7560"/>
            <w:shd w:fill="FFFFFF" w:val="clear"/>
          </w:tcPr>
          <w:p>
            <w:r>
              <w:t xml:space="preserve">Cold-call launch (Overview read aloud), gut-vote before any data (Anchor 1)</w:t>
            </w:r>
          </w:p>
        </w:tc>
      </w:tr>
      <w:tr>
        <w:tc>
          <w:tcPr>
            <w:tcW w:type="dxa" w:w="1800"/>
            <w:shd w:fill="F2F2F2" w:val="clear"/>
          </w:tcPr>
          <w:p>
            <w:r>
              <w:t xml:space="preserve">3:00-10:00</w:t>
            </w:r>
          </w:p>
        </w:tc>
        <w:tc>
          <w:tcPr>
            <w:tcW w:type="dxa" w:w="7560"/>
            <w:shd w:fill="F2F2F2" w:val="clear"/>
          </w:tcPr>
          <w:p>
            <w:r>
              <w:t xml:space="preserve">Define the real question and a fair process (Anchors 2-3); hand out Appendices A-D</w:t>
            </w:r>
          </w:p>
        </w:tc>
      </w:tr>
      <w:tr>
        <w:tc>
          <w:tcPr>
            <w:tcW w:type="dxa" w:w="1800"/>
            <w:shd w:fill="FFFFFF" w:val="clear"/>
          </w:tcPr>
          <w:p>
            <w:r>
              <w:t xml:space="preserve">10:00-15:00</w:t>
            </w:r>
          </w:p>
        </w:tc>
        <w:tc>
          <w:tcPr>
            <w:tcW w:type="dxa" w:w="7560"/>
            <w:shd w:fill="FFFFFF" w:val="clear"/>
          </w:tcPr>
          <w:p>
            <w:r>
              <w:t xml:space="preserve">Data Deep Dive: D1 (box-and-whisker), D2 (scatter plot), D3 (data table) in progress; surface the missing-school-size gap (Anchor 4)</w:t>
            </w:r>
          </w:p>
        </w:tc>
      </w:tr>
      <w:tr>
        <w:tc>
          <w:tcPr>
            <w:tcW w:type="dxa" w:w="1800"/>
            <w:shd w:fill="F2F2F2" w:val="clear"/>
          </w:tcPr>
          <w:p>
            <w:r>
              <w:t xml:space="preserve">15:00-20:00</w:t>
            </w:r>
          </w:p>
        </w:tc>
        <w:tc>
          <w:tcPr>
            <w:tcW w:type="dxa" w:w="7560"/>
            <w:shd w:fill="F2F2F2" w:val="clear"/>
          </w:tcPr>
          <w:p>
            <w:r>
              <w:t xml:space="preserve">DROP THE TWIST — delivered slowly, with the follow-up question</w:t>
            </w:r>
          </w:p>
        </w:tc>
      </w:tr>
      <w:tr>
        <w:tc>
          <w:tcPr>
            <w:tcW w:type="dxa" w:w="1800"/>
            <w:shd w:fill="FFFFFF" w:val="clear"/>
          </w:tcPr>
          <w:p>
            <w:r>
              <w:t xml:space="preserve">20:00-30:00</w:t>
            </w:r>
          </w:p>
        </w:tc>
        <w:tc>
          <w:tcPr>
            <w:tcW w:type="dxa" w:w="7560"/>
            <w:shd w:fill="FFFFFF" w:val="clear"/>
          </w:tcPr>
          <w:p>
            <w:r>
              <w:t xml:space="preserve">D4 (SAT-gap %) and D5 (headcount estimate) worked; compare which deliverable moved each Hero's position</w:t>
            </w:r>
          </w:p>
        </w:tc>
      </w:tr>
      <w:tr>
        <w:tc>
          <w:tcPr>
            <w:tcW w:type="dxa" w:w="1800"/>
            <w:shd w:fill="F2F2F2" w:val="clear"/>
          </w:tcPr>
          <w:p>
            <w:r>
              <w:t xml:space="preserve">30:00-40:00</w:t>
            </w:r>
          </w:p>
        </w:tc>
        <w:tc>
          <w:tcPr>
            <w:tcW w:type="dxa" w:w="7560"/>
            <w:shd w:fill="F2F2F2" w:val="clear"/>
          </w:tcPr>
          <w:p>
            <w:r>
              <w:t xml:space="preserve">Threaded conflict: GPA/rank (favors Tisha) vs. test scores (favors Harrison) vs. the headcount reveal's real uncertainty</w:t>
            </w:r>
          </w:p>
        </w:tc>
      </w:tr>
      <w:tr>
        <w:tc>
          <w:tcPr>
            <w:tcW w:type="dxa" w:w="1800"/>
            <w:shd w:fill="FFFFFF" w:val="clear"/>
          </w:tcPr>
          <w:p>
            <w:r>
              <w:t xml:space="preserve">40:00-45:00</w:t>
            </w:r>
          </w:p>
        </w:tc>
        <w:tc>
          <w:tcPr>
            <w:tcW w:type="dxa" w:w="7560"/>
            <w:shd w:fill="FFFFFF" w:val="clear"/>
          </w:tcPr>
          <w:p>
            <w:r>
              <w:t xml:space="preserve">Close, re-vote, reflection, lessons learned</w:t>
            </w:r>
          </w:p>
        </w:tc>
      </w:tr>
    </w:tbl>
    <w:p>
      <w:pPr>
        <w:pStyle w:val="Heading1"/>
        <w:spacing w:after="120" w:before="240"/>
      </w:pPr>
      <w:r>
        <w:t xml:space="preserve">Cohort bands</w:t>
      </w:r>
    </w:p>
    <w:p>
      <w:pPr>
        <w:pStyle w:val="ListParagraph"/>
        <w:numPr>
          <w:ilvl w:val="0"/>
          <w:numId w:val="2"/>
        </w:numPr>
        <w:spacing w:after="80"/>
      </w:pPr>
      <w:r>
        <w:t xml:space="preserve">Full (12-20): The room typically splits early on GPA/rank (favoring Tisha) vs. test scores (favoring Harrison); D5's school-size reveal is the moment that usually produces an audible reaction once the raw counts are computed and compared.</w:t>
      </w:r>
    </w:p>
    <w:p>
      <w:pPr>
        <w:pStyle w:val="ListParagraph"/>
        <w:numPr>
          <w:ilvl w:val="0"/>
          <w:numId w:val="2"/>
        </w:numPr>
        <w:spacing w:after="80"/>
      </w:pPr>
      <w:r>
        <w:t xml:space="preserve">Compressed (6-11): D1's box-and-whisker plot is built once as a shared example, then each pair completes D2-D5 independently; D5's assumption-writing step is worth doing as a full-group discussion before pairs finalize their own numbers.</w:t>
      </w:r>
    </w:p>
    <w:p>
      <w:pPr>
        <w:pStyle w:val="ListParagraph"/>
        <w:numPr>
          <w:ilvl w:val="0"/>
          <w:numId w:val="2"/>
        </w:numPr>
        <w:spacing w:after="80"/>
      </w:pPr>
      <w:r>
        <w:t xml:space="preserve">1:1 / pair (1-2): No vote to take — the Hero states an initial position after reading Appendices C and D, then the guide plays devil's advocate for the other applicant, specifically pushing on whichever deliverable (D1-D5) the Hero's initial pitch leaned on least.</w:t>
      </w:r>
    </w:p>
    <w:p>
      <w:pPr>
        <w:pStyle w:val="Heading1"/>
        <w:spacing w:after="120" w:before="240"/>
      </w:pPr>
      <w:r>
        <w:t xml:space="preserve">Skills this case exercises</w:t>
      </w:r>
    </w:p>
    <w:p>
      <w:pPr>
        <w:spacing w:after="160"/>
      </w:pPr>
      <w:r>
        <w:t xml:space="preserve">Name these in debrief so Heroes connect the case back to the vocabulary and "how to…" list in Appendix E:</w:t>
      </w:r>
    </w:p>
    <w:p>
      <w:pPr>
        <w:pStyle w:val="ListParagraph"/>
        <w:numPr>
          <w:ilvl w:val="0"/>
          <w:numId w:val="2"/>
        </w:numPr>
        <w:spacing w:after="80"/>
      </w:pPr>
      <w:r>
        <w:t xml:space="preserve">Quartiles, box-and-whisker plots, and reading an outlier against a published range (D1)</w:t>
      </w:r>
    </w:p>
    <w:p>
      <w:pPr>
        <w:pStyle w:val="ListParagraph"/>
        <w:numPr>
          <w:ilvl w:val="0"/>
          <w:numId w:val="2"/>
        </w:numPr>
        <w:spacing w:after="80"/>
      </w:pPr>
      <w:r>
        <w:t xml:space="preserve">Scatter plots comparing two quantitative measures (D2)</w:t>
      </w:r>
    </w:p>
    <w:p>
      <w:pPr>
        <w:pStyle w:val="ListParagraph"/>
        <w:numPr>
          <w:ilvl w:val="0"/>
          <w:numId w:val="2"/>
        </w:numPr>
        <w:spacing w:after="80"/>
      </w:pPr>
      <w:r>
        <w:t xml:space="preserve">Building and citing a data comparison table (D3)</w:t>
      </w:r>
    </w:p>
    <w:p>
      <w:pPr>
        <w:pStyle w:val="ListParagraph"/>
        <w:numPr>
          <w:ilvl w:val="0"/>
          <w:numId w:val="2"/>
        </w:numPr>
        <w:spacing w:after="80"/>
      </w:pPr>
      <w:r>
        <w:t xml:space="preserve">Computing a point gap and expressing it as a percent of a value (D4)</w:t>
      </w:r>
    </w:p>
    <w:p>
      <w:pPr>
        <w:pStyle w:val="ListParagraph"/>
        <w:numPr>
          <w:ilvl w:val="0"/>
          <w:numId w:val="2"/>
        </w:numPr>
        <w:spacing w:after="80"/>
      </w:pPr>
      <w:r>
        <w:t xml:space="preserve">Converting a percentile into a raw count using a population size, including reasoning about which population figure to trust (D5)</w:t>
      </w:r>
    </w:p>
    <w:p>
      <w:pPr>
        <w:pStyle w:val="ListParagraph"/>
        <w:numPr>
          <w:ilvl w:val="0"/>
          <w:numId w:val="2"/>
        </w:numPr>
        <w:spacing w:after="80"/>
      </w:pPr>
      <w:r>
        <w:t xml:space="preserve">Rounding to a specified place value throughout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2026-08-17T20:54:53.931Z</dcterms:created>
  <dcterms:modified xsi:type="dcterms:W3CDTF">2026-08-17T20:54:53.932Z</dcterms:modified>
</cp:coreProperties>
</file>

<file path=docProps/custom.xml><?xml version="1.0" encoding="utf-8"?>
<Properties xmlns="http://schemas.openxmlformats.org/officeDocument/2006/custom-properties" xmlns:vt="http://schemas.openxmlformats.org/officeDocument/2006/docPropsVTypes"/>
</file>