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Company Front</w:t>
      </w:r>
    </w:p>
    <w:p>
      <w:pPr>
        <w:spacing w:after="240"/>
        <w:jc w:val="center"/>
      </w:pPr>
      <w:r>
        <w:rPr>
          <w:i/>
          <w:iCs/>
          <w:sz w:val="22"/>
          <w:szCs w:val="22"/>
        </w:rPr>
        <w:t xml:space="preserve">MS | Math | Case Study | 2026-27 | Heroes Academy</w:t>
      </w:r>
    </w:p>
    <w:p>
      <w:pPr>
        <w:pStyle w:val="Heading2"/>
        <w:spacing w:after="120" w:before="240"/>
      </w:pPr>
      <w:r>
        <w:t xml:space="preserve">Overview</w:t>
      </w:r>
    </w:p>
    <w:p>
      <w:r>
        <w:t xml:space="preserve">Mara Okafor is on her knees on the band room floor at 9:40 on a Tuesday night, a ruler in one hand and a marked-up field chart in the other, and the drill charts go to the printer at nine tomorrow morning. Behind her, the head designer's laptop is still open to the transition she's supposed to have finished an hour ago — count 88 through count 104, sixteen counts, the loudest visual moment in the whole show.</w:t>
      </w:r>
    </w:p>
    <w:p>
      <w:r>
        <w:t xml:space="preserve">Two versions of the same sixteen counts are taped side by side on the wall. In the left one, the block the band opens in stays exactly the size it starts, just spins in place, clean and safe. In the right one, that same block stretches wide open across the width of the field — the move the head designer wants for the climax, the one that makes the drum majors' eyes light up when she describes it, the one nobody has actually checked will fit in sixteen counts.</w:t>
      </w:r>
    </w:p>
    <w:p>
      <w:r>
        <w:t xml:space="preserve">Mara's phone buzzes. A text from the head designer: "Did the math work out for the expand? Tell me it's fine."</w:t>
      </w:r>
    </w:p>
    <w:p>
      <w:r>
        <w:t xml:space="preserve">She isn't sure it's fine. She pulls the ruler across the chart one more time, counting steps between two marks that used to be four steps apart and now aren't.</w:t>
      </w:r>
    </w:p>
    <w:p>
      <w:pPr>
        <w:pStyle w:val="Heading2"/>
        <w:spacing w:after="120" w:before="240"/>
      </w:pPr>
      <w:r>
        <w:t xml:space="preserve">Background</w:t>
      </w:r>
    </w:p>
    <w:p>
      <w:r>
        <w:t xml:space="preserve">Mara Okafor is the assistant drill designer for her high school marching band, working under the head designer to finalize the drill chart for counts 88–104 of the competition ballad before it goes to the printer. She has authority to run the numbers and flag anything that won't work; the head designer makes the final call, but wants Mara's honest read, not a rubber stamp.</w:t>
      </w:r>
    </w:p>
    <w:p>
      <w:r>
        <w:t xml:space="preserve">The band's current formation — </w:t>
      </w:r>
      <w:r>
        <w:rPr>
          <w:b/>
          <w:bCs/>
        </w:rPr>
        <w:t xml:space="preserve">The Block</w:t>
      </w:r>
      <w:r>
        <w:t xml:space="preserve"> — is a tight 3×3 grid of nine marker positions, each representing one file of performers, spaced 4 steps apart and centered on the 50-yard line at the front hash (SEE APPENDIX B). Two designs are on the table for what The Block becomes over the next sixteen counts.</w:t>
      </w:r>
    </w:p>
    <w:p>
      <w:r>
        <w:rPr>
          <w:b/>
          <w:bCs/>
        </w:rPr>
        <w:t xml:space="preserve">The Expand</w:t>
      </w:r>
      <w:r>
        <w:t xml:space="preserve"> dilates The Block by a scale factor of 4.4, centered on the formation's own center point, stretching it into a dramatic full-field visual for the ballad's climax (SEE APPENDIX D). Every marker moves outward from center — the farther out a marker starts, the farther it has to travel.</w:t>
      </w:r>
    </w:p>
    <w:p>
      <w:r>
        <w:rPr>
          <w:b/>
          <w:bCs/>
        </w:rPr>
        <w:t xml:space="preserve">The Mirror Turn</w:t>
      </w:r>
      <w:r>
        <w:t xml:space="preserve"> rotates The Block 90° about its own center point instead. Because every marker stays the same distance from the center it started at, no marker has to cover nearly as much ground.</w:t>
      </w:r>
    </w:p>
    <w:p>
      <w:r>
        <w:t xml:space="preserve">Every performer's move has to happen within the fixed sixteen counts, and every count is one step. Marching band has two real, well-established step sizes: a comfortable "8-to-5" step (22.5 inches per step, per count) that performers train and drill on, and a harder "6-to-5" step (30 inches per step, per count) reserved for moments that genuinely need to cover more ground fast (SEE APPENDIX C). A move that needs more than 30 inches per step in sixteen counts is not something a real high school line can execute cleanly — it is not a "try harder" problem, it is a design that has to change.</w:t>
      </w:r>
    </w:p>
    <w:p>
      <w:r>
        <w:t xml:space="preserve">Before settling on these two designs, the team also sketched a third — rotating The Block 180° instead of 90° — and set it aside for a staging reason that has nothing to do with whether the math works (SEE APPENDIX E).</w:t>
      </w:r>
    </w:p>
    <w:p>
      <w:r>
        <w:t xml:space="preserve">All figures in this case are sourced in APPENDIX F, or stated as explicit modeling assumptions in APPENDIX E where no public figure exists. The vocabulary and the "how to…" skills this case will ask of you are listed in APPENDIX H — that is where Challenge 1 sends you. If you want to go beyond the required math and learn more about real marching band drill design and step sizes, SEE APPENDIX G for further reading.</w:t>
      </w:r>
    </w:p>
    <w:p>
      <w:pPr>
        <w:pStyle w:val="Heading2"/>
        <w:spacing w:after="120" w:before="240"/>
      </w:pPr>
      <w:r>
        <w:t xml:space="preserve">Dilemma</w:t>
      </w:r>
    </w:p>
    <w:p>
      <w:r>
        <w:t xml:space="preserve">You are Mara Okafor. Do you: A.) Recommend The Expand — dilate The Block by a 4.4× scale factor for the full-field visual OR B.) Recommend The Mirror Turn — rotate The Block 90° about its center, keeping every performer's travel small</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D1. A symmetry check: The Block is designed to be a mirror image of itself across the     50-yard line. Reflect every right-half marker in Appendix B across the Y-axis (the 50-yard     line) and confirm each reflected point lands exactly on its left-half partner.     D2. The Expand, worked in full: dilate every marker in Appendix B by the stated scale factor     about the center, find each marker's new coordinates and its travel distance, identify the     single farthest-traveling marker, and compute the required step size in inches per count at     sixteen counts. Then, using only that one marker's start and end coordinates, show how a     teammate who didn't know the scale factor could recover it.     D3. The Mirror Turn, worked in full: rotate every marker in Appendix B 90° about the center,     find each marker's new coordinates and travel distance, identify the farthest-traveling     marker, and compute the required step size at sixteen counts. State whether rotating 90° the     other direction instead would change the farthest travel distance, and explain why, using     what D1 already proved about The Block's own symmetry.     D4. For The Expand's result and The Mirror Turn's result, state whether each is congruent or     merely similar to the original Block, and justify each answer using the definition of the     transformation that produced it.     D5. The ruled-out pivot: find where all nine markers in Appendix B land under a 180° rotation     about the center, and explain why the design team rejected this option for a reason that has     nothing to do with whether the geometry works (SEE APPENDIX E).     D6. The verdict: compare The Expand's required step size against both real step-size ceilings     in Appendix C, state it as a percentage of the harder ceiling, and give your recommendation.</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Field Geometry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Overall field width, sideline to sideline</w:t>
            </w:r>
          </w:p>
        </w:tc>
        <w:tc>
          <w:tcPr>
            <w:tcW w:type="dxa" w:w="4500"/>
          </w:tcPr>
          <w:p>
            <w:r>
              <w:t xml:space="preserve">160 ft (53⅓ yd) [S1]</w:t>
            </w:r>
          </w:p>
        </w:tc>
      </w:tr>
      <w:tr>
        <w:tc>
          <w:tcPr>
            <w:tcW w:type="dxa" w:w="4500"/>
          </w:tcPr>
          <w:p>
            <w:r>
              <w:t xml:space="preserve">Playing field length, goal line to goal line</w:t>
            </w:r>
          </w:p>
        </w:tc>
        <w:tc>
          <w:tcPr>
            <w:tcW w:type="dxa" w:w="4500"/>
          </w:tcPr>
          <w:p>
            <w:r>
              <w:t xml:space="preserve">300 ft (100 yd) [S1]</w:t>
            </w:r>
          </w:p>
        </w:tc>
      </w:tr>
      <w:tr>
        <w:tc>
          <w:tcPr>
            <w:tcW w:type="dxa" w:w="4500"/>
          </w:tcPr>
          <w:p>
            <w:r>
              <w:t xml:space="preserve">Yard lines</w:t>
            </w:r>
          </w:p>
        </w:tc>
        <w:tc>
          <w:tcPr>
            <w:tcW w:type="dxa" w:w="4500"/>
          </w:tcPr>
          <w:p>
            <w:r>
              <w:t xml:space="preserve">painted every 5 yd; bold every 10 yd, across the full width [S1]</w:t>
            </w:r>
          </w:p>
        </w:tc>
      </w:tr>
      <w:tr>
        <w:tc>
          <w:tcPr>
            <w:tcW w:type="dxa" w:w="4500"/>
          </w:tcPr>
          <w:p>
            <w:r>
              <w:t xml:space="preserve">Hash marks (high school)</w:t>
            </w:r>
          </w:p>
        </w:tc>
        <w:tc>
          <w:tcPr>
            <w:tcW w:type="dxa" w:w="4500"/>
          </w:tcPr>
          <w:p>
            <w:r>
              <w:t xml:space="preserve">53 ft 4 in from each sideline [S1]</w:t>
            </w:r>
          </w:p>
        </w:tc>
      </w:tr>
    </w:tbl>
    <w:p/>
    <w:p>
      <w:pPr>
        <w:pStyle w:val="Heading2"/>
        <w:spacing w:after="120" w:before="240"/>
      </w:pPr>
      <w:r>
        <w:t xml:space="preserve">Appendix B — The Block (starting formation)</w:t>
      </w:r>
    </w:p>
    <w:p>
      <w:r>
        <w:t xml:space="preserve">Nine marker positions, each representing one file of performers, in a 3×3 grid spaced 4 steps apart, centered on the 50-yard line at the front hash. Coordinates are in steps from center, and </w:t>
      </w:r>
      <w:r>
        <w:rPr>
          <w:b/>
          <w:bCs/>
        </w:rPr>
        <w:t xml:space="preserve">every "step" in this appendix is the real, standard 8-to-5 unit from Appendix C — 22.5 inches</w:t>
      </w:r>
      <w:r>
        <w:t xml:space="preserve"> — the same unit real drill charts are written in. </w:t>
      </w:r>
      <w:r>
        <w:rPr>
          <w:b/>
          <w:bCs/>
        </w:rPr>
        <w:t xml:space="preserve">x</w:t>
      </w:r>
      <w:r>
        <w:t xml:space="preserve"> = steps toward the visitors' sideline (+) or home sideline (−) from the 50 (the Y-axis); </w:t>
      </w:r>
      <w:r>
        <w:rPr>
          <w:b/>
          <w:bCs/>
        </w:rPr>
        <w:t xml:space="preserve">y</w:t>
      </w:r>
      <w:r>
        <w:t xml:space="preserve"> = steps toward the back sideline (+) or front sideline (−) from the front hash.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Marker</w:t>
            </w:r>
          </w:p>
        </w:tc>
        <w:tc>
          <w:tcPr>
            <w:tcW w:type="dxa" w:w="3000"/>
            <w:shd w:fill="DDDDDD" w:val="clear"/>
          </w:tcPr>
          <w:p>
            <w:r>
              <w:t xml:space="preserve">x (steps)</w:t>
            </w:r>
          </w:p>
        </w:tc>
        <w:tc>
          <w:tcPr>
            <w:tcW w:type="dxa" w:w="3000"/>
            <w:shd w:fill="DDDDDD" w:val="clear"/>
          </w:tcPr>
          <w:p>
            <w:r>
              <w:t xml:space="preserve">y (steps)</w:t>
            </w:r>
          </w:p>
        </w:tc>
      </w:tr>
      <w:tr>
        <w:tc>
          <w:tcPr>
            <w:tcW w:type="dxa" w:w="3000"/>
          </w:tcPr>
          <w:p>
            <w:r>
              <w:t xml:space="preserve">1</w:t>
            </w:r>
          </w:p>
        </w:tc>
        <w:tc>
          <w:tcPr>
            <w:tcW w:type="dxa" w:w="3000"/>
          </w:tcPr>
          <w:p>
            <w:r>
              <w:t xml:space="preserve">−4</w:t>
            </w:r>
          </w:p>
        </w:tc>
        <w:tc>
          <w:tcPr>
            <w:tcW w:type="dxa" w:w="3000"/>
          </w:tcPr>
          <w:p>
            <w:r>
              <w:t xml:space="preserve">−4</w:t>
            </w:r>
          </w:p>
        </w:tc>
      </w:tr>
      <w:tr>
        <w:tc>
          <w:tcPr>
            <w:tcW w:type="dxa" w:w="3000"/>
          </w:tcPr>
          <w:p>
            <w:r>
              <w:t xml:space="preserve">2</w:t>
            </w:r>
          </w:p>
        </w:tc>
        <w:tc>
          <w:tcPr>
            <w:tcW w:type="dxa" w:w="3000"/>
          </w:tcPr>
          <w:p>
            <w:r>
              <w:t xml:space="preserve">−4</w:t>
            </w:r>
          </w:p>
        </w:tc>
        <w:tc>
          <w:tcPr>
            <w:tcW w:type="dxa" w:w="3000"/>
          </w:tcPr>
          <w:p>
            <w:r>
              <w:t xml:space="preserve">0</w:t>
            </w:r>
          </w:p>
        </w:tc>
      </w:tr>
      <w:tr>
        <w:tc>
          <w:tcPr>
            <w:tcW w:type="dxa" w:w="3000"/>
          </w:tcPr>
          <w:p>
            <w:r>
              <w:t xml:space="preserve">3</w:t>
            </w:r>
          </w:p>
        </w:tc>
        <w:tc>
          <w:tcPr>
            <w:tcW w:type="dxa" w:w="3000"/>
          </w:tcPr>
          <w:p>
            <w:r>
              <w:t xml:space="preserve">−4</w:t>
            </w:r>
          </w:p>
        </w:tc>
        <w:tc>
          <w:tcPr>
            <w:tcW w:type="dxa" w:w="3000"/>
          </w:tcPr>
          <w:p>
            <w:r>
              <w:t xml:space="preserve">4</w:t>
            </w:r>
          </w:p>
        </w:tc>
      </w:tr>
      <w:tr>
        <w:tc>
          <w:tcPr>
            <w:tcW w:type="dxa" w:w="3000"/>
          </w:tcPr>
          <w:p>
            <w:r>
              <w:t xml:space="preserve">4</w:t>
            </w:r>
          </w:p>
        </w:tc>
        <w:tc>
          <w:tcPr>
            <w:tcW w:type="dxa" w:w="3000"/>
          </w:tcPr>
          <w:p>
            <w:r>
              <w:t xml:space="preserve">0</w:t>
            </w:r>
          </w:p>
        </w:tc>
        <w:tc>
          <w:tcPr>
            <w:tcW w:type="dxa" w:w="3000"/>
          </w:tcPr>
          <w:p>
            <w:r>
              <w:t xml:space="preserve">−4</w:t>
            </w:r>
          </w:p>
        </w:tc>
      </w:tr>
      <w:tr>
        <w:tc>
          <w:tcPr>
            <w:tcW w:type="dxa" w:w="3000"/>
          </w:tcPr>
          <w:p>
            <w:r>
              <w:t xml:space="preserve">5</w:t>
            </w:r>
          </w:p>
        </w:tc>
        <w:tc>
          <w:tcPr>
            <w:tcW w:type="dxa" w:w="3000"/>
          </w:tcPr>
          <w:p>
            <w:r>
              <w:t xml:space="preserve">0</w:t>
            </w:r>
          </w:p>
        </w:tc>
        <w:tc>
          <w:tcPr>
            <w:tcW w:type="dxa" w:w="3000"/>
          </w:tcPr>
          <w:p>
            <w:r>
              <w:t xml:space="preserve">0</w:t>
            </w:r>
          </w:p>
        </w:tc>
      </w:tr>
      <w:tr>
        <w:tc>
          <w:tcPr>
            <w:tcW w:type="dxa" w:w="3000"/>
          </w:tcPr>
          <w:p>
            <w:r>
              <w:t xml:space="preserve">6</w:t>
            </w:r>
          </w:p>
        </w:tc>
        <w:tc>
          <w:tcPr>
            <w:tcW w:type="dxa" w:w="3000"/>
          </w:tcPr>
          <w:p>
            <w:r>
              <w:t xml:space="preserve">0</w:t>
            </w:r>
          </w:p>
        </w:tc>
        <w:tc>
          <w:tcPr>
            <w:tcW w:type="dxa" w:w="3000"/>
          </w:tcPr>
          <w:p>
            <w:r>
              <w:t xml:space="preserve">4</w:t>
            </w:r>
          </w:p>
        </w:tc>
      </w:tr>
      <w:tr>
        <w:tc>
          <w:tcPr>
            <w:tcW w:type="dxa" w:w="3000"/>
          </w:tcPr>
          <w:p>
            <w:r>
              <w:t xml:space="preserve">7</w:t>
            </w:r>
          </w:p>
        </w:tc>
        <w:tc>
          <w:tcPr>
            <w:tcW w:type="dxa" w:w="3000"/>
          </w:tcPr>
          <w:p>
            <w:r>
              <w:t xml:space="preserve">4</w:t>
            </w:r>
          </w:p>
        </w:tc>
        <w:tc>
          <w:tcPr>
            <w:tcW w:type="dxa" w:w="3000"/>
          </w:tcPr>
          <w:p>
            <w:r>
              <w:t xml:space="preserve">−4</w:t>
            </w:r>
          </w:p>
        </w:tc>
      </w:tr>
      <w:tr>
        <w:tc>
          <w:tcPr>
            <w:tcW w:type="dxa" w:w="3000"/>
          </w:tcPr>
          <w:p>
            <w:r>
              <w:t xml:space="preserve">8</w:t>
            </w:r>
          </w:p>
        </w:tc>
        <w:tc>
          <w:tcPr>
            <w:tcW w:type="dxa" w:w="3000"/>
          </w:tcPr>
          <w:p>
            <w:r>
              <w:t xml:space="preserve">4</w:t>
            </w:r>
          </w:p>
        </w:tc>
        <w:tc>
          <w:tcPr>
            <w:tcW w:type="dxa" w:w="3000"/>
          </w:tcPr>
          <w:p>
            <w:r>
              <w:t xml:space="preserve">0</w:t>
            </w:r>
          </w:p>
        </w:tc>
      </w:tr>
      <w:tr>
        <w:tc>
          <w:tcPr>
            <w:tcW w:type="dxa" w:w="3000"/>
          </w:tcPr>
          <w:p>
            <w:r>
              <w:t xml:space="preserve">9</w:t>
            </w:r>
          </w:p>
        </w:tc>
        <w:tc>
          <w:tcPr>
            <w:tcW w:type="dxa" w:w="3000"/>
          </w:tcPr>
          <w:p>
            <w:r>
              <w:t xml:space="preserve">4</w:t>
            </w:r>
          </w:p>
        </w:tc>
        <w:tc>
          <w:tcPr>
            <w:tcW w:type="dxa" w:w="3000"/>
          </w:tcPr>
          <w:p>
            <w:r>
              <w:t xml:space="preserve">4</w:t>
            </w:r>
          </w:p>
        </w:tc>
      </w:tr>
    </w:tbl>
    <w:p/>
    <w:p>
      <w:r>
        <w:t xml:space="preserve">This formation is Mara's own team's authored design for this show — it is not a public drill chart (professional drill-writing software output is proprietary and show drill is copyrighted).</w:t>
      </w:r>
    </w:p>
    <w:p>
      <w:pPr>
        <w:pStyle w:val="Heading2"/>
        <w:spacing w:after="120" w:before="240"/>
      </w:pPr>
      <w:r>
        <w:t xml:space="preserve">Appendix C — Step-Size Standards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"8-to-5" step (8 steps per 5 yards) — the standard, comfortable step</w:t>
            </w:r>
          </w:p>
        </w:tc>
        <w:tc>
          <w:tcPr>
            <w:tcW w:type="dxa" w:w="4500"/>
          </w:tcPr>
          <w:p>
            <w:r>
              <w:t xml:space="preserve">22.5 in/step [S2]</w:t>
            </w:r>
          </w:p>
        </w:tc>
      </w:tr>
      <w:tr>
        <w:tc>
          <w:tcPr>
            <w:tcW w:type="dxa" w:w="4500"/>
          </w:tcPr>
          <w:p>
            <w:r>
              <w:t xml:space="preserve">"6-to-5" step (6 steps per 5 yards) — a harder, faster step used for moments that must cover more ground</w:t>
            </w:r>
          </w:p>
        </w:tc>
        <w:tc>
          <w:tcPr>
            <w:tcW w:type="dxa" w:w="4500"/>
          </w:tcPr>
          <w:p>
            <w:r>
              <w:t xml:space="preserve">30.0 in/step [S2]</w:t>
            </w:r>
          </w:p>
        </w:tc>
      </w:tr>
      <w:tr>
        <w:tc>
          <w:tcPr>
            <w:tcW w:type="dxa" w:w="4500"/>
          </w:tcPr>
          <w:p>
            <w:r>
              <w:t xml:space="preserve">One step = one count</w:t>
            </w:r>
          </w:p>
        </w:tc>
        <w:tc>
          <w:tcPr>
            <w:tcW w:type="dxa" w:w="4500"/>
          </w:tcPr>
          <w:p>
            <w:r>
              <w:t xml:space="preserve">by convention [S2]</w:t>
            </w:r>
          </w:p>
        </w:tc>
      </w:tr>
    </w:tbl>
    <w:p/>
    <w:p>
      <w:pPr>
        <w:pStyle w:val="Heading2"/>
        <w:spacing w:after="120" w:before="240"/>
      </w:pPr>
      <w:r>
        <w:t xml:space="preserve">Appendix D — Design Brief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The Expand's scale factor</w:t>
            </w:r>
          </w:p>
        </w:tc>
        <w:tc>
          <w:tcPr>
            <w:tcW w:type="dxa" w:w="4500"/>
          </w:tcPr>
          <w:p>
            <w:r>
              <w:t xml:space="preserve">4.4×, centered on The Block's own center — SEE APPENDIX E, MA1</w:t>
            </w:r>
          </w:p>
        </w:tc>
      </w:tr>
      <w:tr>
        <w:tc>
          <w:tcPr>
            <w:tcW w:type="dxa" w:w="4500"/>
          </w:tcPr>
          <w:p>
            <w:r>
              <w:t xml:space="preserve">Counts available for the transition</w:t>
            </w:r>
          </w:p>
        </w:tc>
        <w:tc>
          <w:tcPr>
            <w:tcW w:type="dxa" w:w="4500"/>
          </w:tcPr>
          <w:p>
            <w:r>
              <w:t xml:space="preserve">16 — SEE APPENDIX E, MA2</w:t>
            </w:r>
          </w:p>
        </w:tc>
      </w:tr>
      <w:tr>
        <w:tc>
          <w:tcPr>
            <w:tcW w:type="dxa" w:w="4500"/>
          </w:tcPr>
          <w:p>
            <w:r>
              <w:t xml:space="preserve">The Mirror Turn's rotation</w:t>
            </w:r>
          </w:p>
        </w:tc>
        <w:tc>
          <w:tcPr>
            <w:tcW w:type="dxa" w:w="4500"/>
          </w:tcPr>
          <w:p>
            <w:r>
              <w:t xml:space="preserve">90° about The Block's own center</w:t>
            </w:r>
          </w:p>
        </w:tc>
      </w:tr>
    </w:tbl>
    <w:p/>
    <w:p>
      <w:pPr>
        <w:pStyle w:val="Heading2"/>
        <w:spacing w:after="120" w:before="240"/>
      </w:pPr>
      <w:r>
        <w:t xml:space="preserve">Appendix E — Modeling Assumptions</w:t>
      </w:r>
    </w:p>
    <w:p>
      <w:pPr>
        <w:ind w:left="480"/>
      </w:pPr>
      <w:r>
        <w:t xml:space="preserve">These figures are </w:t>
      </w:r>
      <w:r>
        <w:rPr>
          <w:b/>
          <w:bCs/>
        </w:rPr>
        <w:t xml:space="preserve">not sourced</w:t>
      </w:r>
      <w:r>
        <w:t xml:space="preserve">. They are stated scenario assumptions chosen by the case author, each with a real basis named below. A Hero may challenge them in discussion — that is a legitimate move, and Appendix H names the skill a Hero would need to test 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The Expand's scale factor</w:t>
            </w:r>
          </w:p>
        </w:tc>
        <w:tc>
          <w:tcPr>
            <w:tcW w:type="dxa" w:w="1800"/>
          </w:tcPr>
          <w:p>
            <w:r>
              <w:rPr>
                <w:b/>
                <w:bCs/>
              </w:rPr>
              <w:t xml:space="preserve">4.4×</w:t>
            </w:r>
          </w:p>
        </w:tc>
        <w:tc>
          <w:tcPr>
            <w:tcW w:type="dxa" w:w="1800"/>
          </w:tcPr>
          <w:p>
            <w:r>
              <w:t xml:space="preserve">No public drill chart exists for this fictional show; set so the resulting step size sits between the real 22.5 in/step comfort standard and the real 30 in/step aggressive ceiling — a genuine, realistic design choice a real drill designer could plausibly propose for a climactic visual moment.</w:t>
            </w:r>
          </w:p>
        </w:tc>
        <w:tc>
          <w:tcPr>
            <w:tcW w:type="dxa" w:w="1800"/>
          </w:tcPr>
          <w:p>
            <w:r>
              <w:t xml:space="preserve">Directly load-bearing. See </w:t>
            </w:r>
            <w:r>
              <w:rPr>
                <w:rFonts w:ascii="Courier New" w:cs="Courier New" w:eastAsia="Courier New" w:hAnsi="Courier New"/>
              </w:rPr>
              <w:t xml:space="preserve">sensitivity_model.py</w:t>
            </w:r>
            <w:r>
              <w:t xml:space="preserve"> for the exact flex range.</w:t>
            </w:r>
          </w:p>
        </w:tc>
      </w:tr>
      <w:tr>
        <w:tc>
          <w:tcPr>
            <w:tcW w:type="dxa" w:w="1800"/>
          </w:tcPr>
          <w:p>
            <w:r>
              <w:t xml:space="preserve">MA2</w:t>
            </w:r>
          </w:p>
        </w:tc>
        <w:tc>
          <w:tcPr>
            <w:tcW w:type="dxa" w:w="1800"/>
          </w:tcPr>
          <w:p>
            <w:r>
              <w:t xml:space="preserve">Counts available for the transition</w:t>
            </w:r>
          </w:p>
        </w:tc>
        <w:tc>
          <w:tcPr>
            <w:tcW w:type="dxa" w:w="1800"/>
          </w:tcPr>
          <w:p>
            <w:r>
              <w:rPr>
                <w:b/>
                <w:bCs/>
              </w:rPr>
              <w:t xml:space="preserve">16</w:t>
            </w:r>
          </w:p>
        </w:tc>
        <w:tc>
          <w:tcPr>
            <w:tcW w:type="dxa" w:w="1800"/>
          </w:tcPr>
          <w:p>
            <w:r>
              <w:t xml:space="preserve">A round, common phrase-length in 4/4 drill writing (two 8-counts). Not derived from a specific real show's music.</w:t>
            </w:r>
          </w:p>
        </w:tc>
        <w:tc>
          <w:tcPr>
            <w:tcW w:type="dxa" w:w="1800"/>
          </w:tcPr>
          <w:p>
            <w:r>
              <w:t xml:space="preserve">Directly load-bearing — flexed in the Twist.</w:t>
            </w:r>
          </w:p>
        </w:tc>
      </w:tr>
      <w:tr>
        <w:tc>
          <w:tcPr>
            <w:tcW w:type="dxa" w:w="1800"/>
          </w:tcPr>
          <w:p>
            <w:r>
              <w:t xml:space="preserve">MA3</w:t>
            </w:r>
          </w:p>
        </w:tc>
        <w:tc>
          <w:tcPr>
            <w:tcW w:type="dxa" w:w="1800"/>
          </w:tcPr>
          <w:p>
            <w:r>
              <w:t xml:space="preserve">Why the 180° pivot was rejected</w:t>
            </w:r>
          </w:p>
        </w:tc>
        <w:tc>
          <w:tcPr>
            <w:tcW w:type="dxa" w:w="1800"/>
          </w:tcPr>
          <w:p>
            <w:r>
              <w:t xml:space="preserve">The visual designer wanted every performer facing the front sideline (toward the audience) for this section's brass feature; a 180° pivot turns the whole block to face the back sideline instead for the same 16 counts.</w:t>
            </w:r>
          </w:p>
        </w:tc>
        <w:tc>
          <w:tcPr>
            <w:tcW w:type="dxa" w:w="1800"/>
          </w:tcPr>
          <w:p>
            <w:r>
              <w:t xml:space="preserve">A real, common staging judgment call in drill design — visibility and sightlines, not math.</w:t>
            </w:r>
          </w:p>
        </w:tc>
        <w:tc>
          <w:tcPr>
            <w:tcW w:type="dxa" w:w="1800"/>
          </w:tcPr>
          <w:p>
            <w:r>
              <w:t xml:space="preserve">Not load-bearing on the A-vs-B dilemma; this option was never actually competing on the numbers.</w:t>
            </w:r>
          </w:p>
        </w:tc>
      </w:tr>
    </w:tbl>
    <w:p/>
    <w:p>
      <w:pPr>
        <w:pStyle w:val="Heading2"/>
        <w:spacing w:after="120" w:before="240"/>
      </w:pPr>
      <w:r>
        <w:t xml:space="preserve">Appendix F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id</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Accessed</w:t>
            </w:r>
          </w:p>
        </w:tc>
        <w:tc>
          <w:tcPr>
            <w:tcW w:type="dxa" w:w="1500"/>
            <w:shd w:fill="DDDDDD" w:val="clear"/>
          </w:tcPr>
          <w:p>
            <w:r>
              <w:t xml:space="preserve">Confidence</w:t>
            </w:r>
          </w:p>
        </w:tc>
      </w:tr>
      <w:tr>
        <w:tc>
          <w:tcPr>
            <w:tcW w:type="dxa" w:w="1500"/>
          </w:tcPr>
          <w:p>
            <w:r>
              <w:t xml:space="preserve">S1</w:t>
            </w:r>
          </w:p>
        </w:tc>
        <w:tc>
          <w:tcPr>
            <w:tcW w:type="dxa" w:w="1500"/>
          </w:tcPr>
          <w:p>
            <w:r>
              <w:t xml:space="preserve">High school football field dimensions: overall width/length, yard line spacing, hash mark position</w:t>
            </w:r>
          </w:p>
        </w:tc>
        <w:tc>
          <w:tcPr>
            <w:tcW w:type="dxa" w:w="1500"/>
          </w:tcPr>
          <w:p>
            <w:r>
              <w:t xml:space="preserve">160 ft wide, 300 ft goal-to-goal, yard lines every 5 yd, hashes 53 ft 4 in from sidelines</w:t>
            </w:r>
          </w:p>
        </w:tc>
        <w:tc>
          <w:tcPr>
            <w:tcW w:type="dxa" w:w="1500"/>
          </w:tcPr>
          <w:p>
            <w:r>
              <w:t xml:space="preserve">CoverSports, "High School Football Field Dimensions: NFHS Specs" (</w:t>
            </w:r>
            <w:hyperlink w:history="1" r:id="rIdnzlcgedg8k1ugpln4mnom">
              <w:r>
                <w:rPr>
                  <w:rStyle w:val="Hyperlink"/>
                </w:rPr>
                <w:t xml:space="preserve">link</w:t>
              </w:r>
            </w:hyperlink>
            <w:r>
              <w:t xml:space="preserve">)</w:t>
            </w:r>
          </w:p>
        </w:tc>
        <w:tc>
          <w:tcPr>
            <w:tcW w:type="dxa" w:w="1500"/>
          </w:tcPr>
          <w:p>
            <w:r>
              <w:t xml:space="preserve">2026-08-12</w:t>
            </w:r>
          </w:p>
        </w:tc>
        <w:tc>
          <w:tcPr>
            <w:tcW w:type="dxa" w:w="1500"/>
          </w:tcPr>
          <w:p>
            <w:r>
              <w:t xml:space="preserve">HIGH</w:t>
            </w:r>
          </w:p>
        </w:tc>
      </w:tr>
      <w:tr>
        <w:tc>
          <w:tcPr>
            <w:tcW w:type="dxa" w:w="1500"/>
          </w:tcPr>
          <w:p>
            <w:r>
              <w:t xml:space="preserve">S2</w:t>
            </w:r>
          </w:p>
        </w:tc>
        <w:tc>
          <w:tcPr>
            <w:tcW w:type="dxa" w:w="1500"/>
          </w:tcPr>
          <w:p>
            <w:r>
              <w:t xml:space="preserve">"8-to-5" and "6-to-5" marching step sizes</w:t>
            </w:r>
          </w:p>
        </w:tc>
        <w:tc>
          <w:tcPr>
            <w:tcW w:type="dxa" w:w="1500"/>
          </w:tcPr>
          <w:p>
            <w:r>
              <w:t xml:space="preserve">22.5 in/step ("8-to-5"); 30.0 in/step ("6-to-5", 5 yd ÷ 6 steps)</w:t>
            </w:r>
          </w:p>
        </w:tc>
        <w:tc>
          <w:tcPr>
            <w:tcW w:type="dxa" w:w="1500"/>
          </w:tcPr>
          <w:p>
            <w:r>
              <w:t xml:space="preserve">Wikibooks, "Corps-Style Marching/Technique/Step Sizes" (</w:t>
            </w:r>
            <w:hyperlink w:history="1" r:id="rIdlh9pdokr0aqsmgojravfu">
              <w:r>
                <w:rPr>
                  <w:rStyle w:val="Hyperlink"/>
                </w:rPr>
                <w:t xml:space="preserve">link</w:t>
              </w:r>
            </w:hyperlink>
            <w:r>
              <w:t xml:space="preserve">)</w:t>
            </w:r>
          </w:p>
        </w:tc>
        <w:tc>
          <w:tcPr>
            <w:tcW w:type="dxa" w:w="1500"/>
          </w:tcPr>
          <w:p>
            <w:r>
              <w:t xml:space="preserve">2026-08-12</w:t>
            </w:r>
          </w:p>
        </w:tc>
        <w:tc>
          <w:tcPr>
            <w:tcW w:type="dxa" w:w="1500"/>
          </w:tcPr>
          <w:p>
            <w:r>
              <w:t xml:space="preserve">HIGH</w:t>
            </w:r>
          </w:p>
        </w:tc>
      </w:tr>
    </w:tbl>
    <w:p/>
    <w:p>
      <w:pPr>
        <w:pStyle w:val="Heading2"/>
        <w:spacing w:after="120" w:before="240"/>
      </w:pPr>
      <w:r>
        <w:t xml:space="preserve">Appendix G — Learn More</w:t>
      </w:r>
    </w:p>
    <w:p>
      <w:r>
        <w:t xml:space="preserve">Curious what real marching band drill design, step sizes, and competitive judging look like beyond this case? These are real, currently-live resources for further reading — none of them are required for the Challenges.</w:t>
      </w:r>
    </w:p>
    <w:p>
      <w:pPr>
        <w:ind w:left="360"/>
      </w:pPr>
      <w:r>
        <w:t xml:space="preserve">- </w:t>
      </w:r>
      <w:hyperlink w:history="1" r:id="rIdwlwduytamjfxdmedpum9u">
        <w:r>
          <w:rPr>
            <w:rStyle w:val="Hyperlink"/>
          </w:rPr>
          <w:t xml:space="preserve">Understanding Step Sizes and Spacing in Marching Band Drill — DrillFlo</w:t>
        </w:r>
      </w:hyperlink>
      <w:r>
        <w:t xml:space="preserve"> — a plain-language guide to real 8-to-5 and 6-to-5 step sizes and how drill designers choose spacing for a formation.</w:t>
      </w:r>
    </w:p>
    <w:p>
      <w:pPr>
        <w:ind w:left="360"/>
      </w:pPr>
      <w:r>
        <w:t xml:space="preserve">- </w:t>
      </w:r>
      <w:hyperlink w:history="1" r:id="rId625psf_zxihx5ubofopd9">
        <w:r>
          <w:rPr>
            <w:rStyle w:val="Hyperlink"/>
          </w:rPr>
          <w:t xml:space="preserve">Common Design Elements — Drill Design Pt. 3 — Band Director Media Group</w:t>
        </w:r>
      </w:hyperlink>
      <w:r>
        <w:t xml:space="preserve"> — a working drill designer's explanation of compositional devices real marching bands use to build formations like The Block.</w:t>
      </w:r>
    </w:p>
    <w:p>
      <w:pPr>
        <w:ind w:left="360"/>
      </w:pPr>
      <w:r>
        <w:t xml:space="preserve">- </w:t>
      </w:r>
      <w:hyperlink w:history="1" r:id="rId2skoc5yv2o-jf8d0a5zen">
        <w:r>
          <w:rPr>
            <w:rStyle w:val="Hyperlink"/>
          </w:rPr>
          <w:t xml:space="preserve">Judging — Drum Corps International</w:t>
        </w:r>
      </w:hyperlink>
      <w:r>
        <w:t xml:space="preserve"> — DCI's own explanation of how a real competitive judging panel evaluates a corps' visual design and execution, the kind of scrutiny a move like The Expand would face on a real field.</w:t>
      </w:r>
    </w:p>
    <w:p>
      <w:pPr>
        <w:ind w:left="360"/>
      </w:pPr>
      <w:r>
        <w:t xml:space="preserve">- </w:t>
      </w:r>
      <w:hyperlink w:history="1" r:id="rId4so5ptxd3xnbfjcxeuhsr">
        <w:r>
          <w:rPr>
            <w:rStyle w:val="Hyperlink"/>
          </w:rPr>
          <w:t xml:space="preserve">Dilations: scale factor — Khan Academy</w:t>
        </w:r>
      </w:hyperlink>
      <w:r>
        <w:t xml:space="preserve"> — a short video walking through exactly the dilation-by-scale-factor math The Expand requires.</w:t>
      </w:r>
    </w:p>
    <w:p>
      <w:pPr>
        <w:ind w:left="360"/>
      </w:pPr>
      <w:r>
        <w:t xml:space="preserve">- </w:t>
      </w:r>
      <w:hyperlink w:history="1" r:id="rIdnnustylmn3rnll49beu7j">
        <w:r>
          <w:rPr>
            <w:rStyle w:val="Hyperlink"/>
          </w:rPr>
          <w:t xml:space="preserve">Rotation Rules in Geometry — Mometrix Academy</w:t>
        </w:r>
      </w:hyperlink>
      <w:r>
        <w:t xml:space="preserve"> — a reference on the algebraic rules for rotating a figure 90°, 180°, and 270° about a center point, the math behind The Mirror Turn.</w:t>
      </w:r>
    </w:p>
    <w:p>
      <w:pPr>
        <w:pStyle w:val="Heading2"/>
        <w:spacing w:after="120" w:before="240"/>
      </w:pPr>
      <w:r>
        <w:t xml:space="preserve">Appendix H — "How To…" Math Questions To Research</w:t>
      </w:r>
    </w:p>
    <w:p>
      <w:r>
        <w:rPr>
          <w:b/>
          <w:bCs/>
        </w:rPr>
        <w:t xml:space="preserve">Vocabulary terms</w:t>
      </w:r>
    </w:p>
    <w:p>
      <w:pPr>
        <w:ind w:left="360"/>
      </w:pPr>
      <w:r>
        <w:t xml:space="preserve">- Congruent</w:t>
      </w:r>
    </w:p>
    <w:p>
      <w:pPr>
        <w:ind w:left="360"/>
      </w:pPr>
      <w:r>
        <w:t xml:space="preserve">- Similar</w:t>
      </w:r>
    </w:p>
    <w:p>
      <w:pPr>
        <w:ind w:left="360"/>
      </w:pPr>
      <w:r>
        <w:t xml:space="preserve">- Dilation</w:t>
      </w:r>
    </w:p>
    <w:p>
      <w:pPr>
        <w:ind w:left="360"/>
      </w:pPr>
      <w:r>
        <w:t xml:space="preserve">- Scale Factor</w:t>
      </w:r>
    </w:p>
    <w:p>
      <w:pPr>
        <w:ind w:left="360"/>
      </w:pPr>
      <w:r>
        <w:t xml:space="preserve">- Transformation</w:t>
      </w:r>
    </w:p>
    <w:p>
      <w:pPr>
        <w:ind w:left="360"/>
      </w:pPr>
      <w:r>
        <w:t xml:space="preserve">- Rotation</w:t>
      </w:r>
    </w:p>
    <w:p>
      <w:pPr>
        <w:ind w:left="360"/>
      </w:pPr>
      <w:r>
        <w:t xml:space="preserve">- Clockwise</w:t>
      </w:r>
    </w:p>
    <w:p>
      <w:pPr>
        <w:ind w:left="360"/>
      </w:pPr>
      <w:r>
        <w:t xml:space="preserve">- Counter-Clockwise</w:t>
      </w:r>
    </w:p>
    <w:p>
      <w:r>
        <w:rPr>
          <w:b/>
          <w:bCs/>
        </w:rPr>
        <w:t xml:space="preserve">"How to…" questions</w:t>
      </w:r>
    </w:p>
    <w:p>
      <w:pPr>
        <w:ind w:left="360"/>
      </w:pPr>
      <w:r>
        <w:t xml:space="preserve">- How to reflect a figure across the Y-Axis</w:t>
      </w:r>
    </w:p>
    <w:p>
      <w:pPr>
        <w:ind w:left="360"/>
      </w:pPr>
      <w:r>
        <w:t xml:space="preserve">- How to rotate a figure on the coordinate plane 90 degrees counterclockwise</w:t>
      </w:r>
    </w:p>
    <w:p>
      <w:pPr>
        <w:ind w:left="360"/>
      </w:pPr>
      <w:r>
        <w:t xml:space="preserve">- How to rotate a figure on the coordinate plane 90 degrees clockwise</w:t>
      </w:r>
    </w:p>
    <w:p>
      <w:pPr>
        <w:ind w:left="360"/>
      </w:pPr>
      <w:r>
        <w:t xml:space="preserve">- How to rotate a figure on the coordinate plane 180 degrees</w:t>
      </w:r>
    </w:p>
    <w:p>
      <w:pPr>
        <w:ind w:left="360"/>
      </w:pPr>
      <w:r>
        <w:t xml:space="preserve">- How to dilate a figure on the coordinate plane given a scale factor</w:t>
      </w:r>
    </w:p>
    <w:p>
      <w:pPr>
        <w:ind w:left="360"/>
      </w:pPr>
      <w:r>
        <w:t xml:space="preserve">- How to find the scale factor of a dilation</w:t>
      </w:r>
    </w:p>
    <w:p>
      <w:pPr>
        <w:ind w:left="360"/>
      </w:pPr>
      <w:r>
        <w:t xml:space="preserve">- How to find the percent of a number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zlcgedg8k1ugpln4mnom" Type="http://schemas.openxmlformats.org/officeDocument/2006/relationships/hyperlink" Target="https://coversports.com/resources/field-guides/high-school-football-field-dimensions-guide" TargetMode="External"/><Relationship Id="rIdlh9pdokr0aqsmgojravfu" Type="http://schemas.openxmlformats.org/officeDocument/2006/relationships/hyperlink" Target="https://en.wikibooks.org/wiki/Corps-Style_Marching/Technique/Step_Sizes" TargetMode="External"/><Relationship Id="rIdwlwduytamjfxdmedpum9u" Type="http://schemas.openxmlformats.org/officeDocument/2006/relationships/hyperlink" Target="https://www.drillflo.com/blog/understanding-step-sizes-and-spacing-in-marching-band-drill" TargetMode="External"/><Relationship Id="rId625psf_zxihx5ubofopd9" Type="http://schemas.openxmlformats.org/officeDocument/2006/relationships/hyperlink" Target="https://banddirector.com/marching-band/drill-design/commmon-design-elements-drill-design-pt-3/" TargetMode="External"/><Relationship Id="rId2skoc5yv2o-jf8d0a5zen" Type="http://schemas.openxmlformats.org/officeDocument/2006/relationships/hyperlink" Target="https://www.dci.org/judging/" TargetMode="External"/><Relationship Id="rId4so5ptxd3xnbfjcxeuhsr" Type="http://schemas.openxmlformats.org/officeDocument/2006/relationships/hyperlink" Target="https://www.khanacademy.org/math/geometry/hs-geo-transformations/hs-geo-dilations/v/dilation-scale-factor" TargetMode="External"/><Relationship Id="rIdnnustylmn3rnll49beu7j" Type="http://schemas.openxmlformats.org/officeDocument/2006/relationships/hyperlink" Target="https://www.mometrix.com/academy/rotation"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2026-08-18T07:36:21.055Z</dcterms:created>
  <dcterms:modified xsi:type="dcterms:W3CDTF">2026-08-18T07:36:21.059Z</dcterms:modified>
</cp:coreProperties>
</file>

<file path=docProps/custom.xml><?xml version="1.0" encoding="utf-8"?>
<Properties xmlns="http://schemas.openxmlformats.org/officeDocument/2006/custom-properties" xmlns:vt="http://schemas.openxmlformats.org/officeDocument/2006/docPropsVTypes"/>
</file>