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Curve's Turn</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Dr. Renata Vance has the projector remote in one hand and her phone face-down in the other, and the school board is due in this room in a matter of minutes. On the screen behind her is a chart she has looked at so many times this week that she has stopped seeing it — a jagged line of weekly case counts climbing out of the autumn, dipping, climbing again. Someone from facilities has stacked the folding chairs against the wall, and the room smells like floor wax and cold coffee. Her deputy has printed two memos and left them squared on the table, one laid on top of the other, the way you leave a choice for somebody else to make.</w:t>
      </w:r>
    </w:p>
    <w:p>
      <w:r>
        <w:t xml:space="preserve">The superintendent stops in the doorway with his coat already on. "They're going to ask you for a date," he says. "Not a range. A date." Then he is gone down the corridor, and Renata is alone with the hum of the projector fan.</w:t>
      </w:r>
    </w:p>
    <w:p>
      <w:r>
        <w:t xml:space="preserve">She knows what the smooth curve drawn through those points says about where this is going. She also knows the line underneath it is real data — reported, revised, ragged — and that every epidemiologist she trained with has watched a curve exactly like this one flatten into nothing the week after everybody panicked. Down the hall a custodian is running a floor buffer. Renata turns the top memo over, turns it back, and reaches for the remote.</w:t>
      </w:r>
    </w:p>
    <w:p>
      <w:pPr>
        <w:pStyle w:val="Heading2"/>
        <w:spacing w:after="120" w:before="240"/>
      </w:pPr>
      <w:r>
        <w:t xml:space="preserve">Background</w:t>
      </w:r>
    </w:p>
    <w:p>
      <w:r>
        <w:t xml:space="preserve">Dr. Renata Vance is director of health services for Birchmont Unified School District. Under district policy she does not order a closure herself; she brings the board a single recommendation, and the board has never once voted against one of hers. She is accountable for what happens to instruction and for what happens to the people inside the buildings, and this week those two accountabilities pull in opposite directions.</w:t>
      </w:r>
    </w:p>
    <w:p>
      <w:r>
        <w:t xml:space="preserve">Birchmont Unified is an invented district. The county it sits in is not, and neither is a single case count in this case: the weekly reported series in (SEE APPENDIX A) and (SEE APPENDIX B) is the actual published county series for the county named there, and the population denominator, the reference case-rate tiers and the test-performance figures are cited in (SEE APPENDIX E). Nothing about the decision is real — no health officer named Vance made this call and no board voted on it. Every figure that is not cited is stated openly in (SEE APPENDIX F).</w:t>
      </w:r>
    </w:p>
    <w:p>
      <w:r>
        <w:t xml:space="preserve">Two plans are on the table, and one standing board rule constrains both. The board has authorised exactly one closure, of one fixed length, for the whole term — a closure budget, not a closure policy (SEE APPENDIX C). Whatever Vance recommends, the district spends that budget once, or not at all. Both plans therefore cost the district the same instructional days if they fire; they differ only in </w:t>
      </w:r>
      <w:r>
        <w:rPr>
          <w:b/>
          <w:bCs/>
        </w:rPr>
        <w:t xml:space="preserve">when</w:t>
      </w:r>
      <w:r>
        <w:t xml:space="preserve"> the budget is spent, and in what else runs alongside it.</w:t>
      </w:r>
    </w:p>
    <w:p>
      <w:r>
        <w:rPr>
          <w:b/>
          <w:bCs/>
        </w:rPr>
        <w:t xml:space="preserve">The Early Brake</w:t>
      </w:r>
      <w:r>
        <w:t xml:space="preserve"> closes every school in the district for two weeks starting immediately, on the strength of the curve's turn. The smooth model fitted to the county's current wave (SEE APPENDIX B) has been concave up for weeks — the weekly case count is not merely rising, it is rising faster each week. That is the earliest defensible signal available, and it is a signal about a </w:t>
      </w:r>
      <w:r>
        <w:rPr>
          <w:i/>
          <w:iCs/>
        </w:rPr>
        <w:t xml:space="preserve">rate</w:t>
      </w:r>
      <w:r>
        <w:t xml:space="preserve">, not a level.</w:t>
      </w:r>
    </w:p>
    <w:p>
      <w:r>
        <w:rPr>
          <w:b/>
          <w:bCs/>
        </w:rPr>
        <w:t xml:space="preserve">The Tripwire</w:t>
      </w:r>
      <w:r>
        <w:t xml:space="preserve"> keeps every school open, runs twice-weekly on-site rapid antigen testing for consenting students and staff, and holds the closure budget in reserve until the reported case rate crosses a fixed level the board has already written down (SEE APPENDIX C). A level is unambiguous to read off a table. It is also structurally late: a level can only be crossed after the curve has already turned.</w:t>
      </w:r>
    </w:p>
    <w:p>
      <w:r>
        <w:t xml:space="preserve">Vance is judged on one number, and the board has written that down too: chain-weighted in-school transmissions per one thousand students across the board's stated evaluation horizon (SEE APPENDIX D). The prevention model, the transmission coefficient and the chain multiplier that turn a county case rate into that number are all set out there. The vocabulary and the "how to…" skills this case will ask of you are listed in (SEE APPENDIX H) — that is where Challenge 1 sends you. For real, freely available background reading on epidemic curves, school testing programmes and the county itself, beyond what the case requires, (SEE APPENDIX G).</w:t>
      </w:r>
    </w:p>
    <w:p>
      <w:pPr>
        <w:pStyle w:val="Heading2"/>
        <w:spacing w:after="120" w:before="240"/>
      </w:pPr>
      <w:r>
        <w:t xml:space="preserve">Dilemma</w:t>
      </w:r>
    </w:p>
    <w:p>
      <w:r>
        <w:t xml:space="preserve">You are Dr. Renata Vance. Do you: A.) Recommend The Early Brake — close every school in the district for two weeks starting now, because the fitted curve has been turning upward for weeks OR B.) Recommend The Tripwire — stay open with twice-weekly on-site rapid testing, and hold the closure until the reported case rate crosses the board's written level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model-and-derivative worksheet for the current wave: check the fitted cubic in     Appendix B against the reported series at three separate weeks and report the miss at each;     differentiate it term by term with the power rule and write out the derivative; then state     the derivative's value at the decision week, with units, as the instantaneous rate of change     of weekly cases, and say in one sentence how that differs from the average rate of change     across the last two reported weeks. Close the worksheet with a short note on why the reported     series itself is not differentiable at its own data points, and what fitting a smooth curve     through it buys you and what it costs you.     D2. A tangent-line projection: the equation of the tangent line to the current-wave model at     the decision week, drawn on the same axes as the model and the reported points, plus the week     at which that straight line would reach the board's written level — compared against the week     the curve itself reaches it. State which of the two a board member would find easier to     believe, and which one you would defend.     D3. A critical-point table for the previous wave in Appendix A: every critical point of that     fitted model inside its own window, each one classified by the first derivative test as a     local maximum or a local minimum, with the calendar week it falls in and what it meant on the     ground. For any critical point whose fitted value could not be a real case count, say so     explicitly and explain what that tells you about the model.     D4. A concavity sign chart for the current wave: the second derivative, the week where it     changes sign, and the calendar week the model's concavity turns. Mark that week on your graph     and state, in plain English, what a board member should understand "the curve turned in that     week" to mean — and why it is the earliest defensible warning available.     D5. A retrospective optimisation on the previous wave: treating the fitted model in Appendix A     as the truth, find the start week for a closure of the board's authorised length that would     have covered the most reported cases — that is, maximise G(w) = P(w) + P(w+1). Write the     objective function, take its derivative, solve for the critical point, and confirm with the     first derivative test that it is a maximum, not a minimum. Then report how many weeks that     optimum sits away from the week that wave's concavity turned, and whether that wave ever     crossed the board's written level at all.     D6. The decision table: for The Early Brake and for The Tripwire, the chain-weighted in-school     transmissions per one thousand students left over the horizon, built from Appendix D's stated     formula, with the model's own rate of change shown at the first and last week of each plan's     closure window and used to explain why the two totals differ by the amount they do. End with     your recommendation.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Previous Wave: Weekly Reported Cases</w:t>
      </w:r>
    </w:p>
    <w:p>
      <w:r>
        <w:t xml:space="preserve">Chittenden County, Vermont. Weekly reported COVID-19 cases and deaths, as published by CDC [S1]. The county's previous completed wave, from the week ending 2021-06-02 through the week ending 2021-10-06. </w:t>
      </w:r>
      <w:r>
        <w:rPr>
          <w:rFonts w:ascii="Courier New" w:cs="Courier New" w:eastAsia="Courier New" w:hAnsi="Courier New"/>
        </w:rPr>
        <w:t xml:space="preserve">t</w:t>
      </w:r>
      <w:r>
        <w:t xml:space="preserve"> counts weeks from the first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t</w:t>
            </w:r>
          </w:p>
        </w:tc>
        <w:tc>
          <w:tcPr>
            <w:tcW w:type="dxa" w:w="1500"/>
            <w:shd w:fill="DDDDDD" w:val="clear"/>
          </w:tcPr>
          <w:p>
            <w:r>
              <w:t xml:space="preserve">Week ending</w:t>
            </w:r>
          </w:p>
        </w:tc>
        <w:tc>
          <w:tcPr>
            <w:tcW w:type="dxa" w:w="1500"/>
            <w:shd w:fill="DDDDDD" w:val="clear"/>
          </w:tcPr>
          <w:p>
            <w:r>
              <w:t xml:space="preserve">New cases</w:t>
            </w:r>
          </w:p>
        </w:tc>
        <w:tc>
          <w:tcPr>
            <w:tcW w:type="dxa" w:w="1500"/>
            <w:shd w:fill="DDDDDD" w:val="clear"/>
          </w:tcPr>
          <w:p>
            <w:r>
              <w:t xml:space="preserve">New deaths</w:t>
            </w:r>
          </w:p>
        </w:tc>
        <w:tc>
          <w:tcPr>
            <w:tcW w:type="dxa" w:w="1500"/>
            <w:shd w:fill="DDDDDD" w:val="clear"/>
          </w:tcPr>
          <w:p>
            <w:r>
              <w:t xml:space="preserve">Cumulative cases</w:t>
            </w:r>
          </w:p>
        </w:tc>
        <w:tc>
          <w:tcPr>
            <w:tcW w:type="dxa" w:w="1500"/>
            <w:shd w:fill="DDDDDD" w:val="clear"/>
          </w:tcPr>
          <w:p>
            <w:r>
              <w:t xml:space="preserve">Cumulative deaths</w:t>
            </w:r>
          </w:p>
        </w:tc>
      </w:tr>
      <w:tr>
        <w:tc>
          <w:tcPr>
            <w:tcW w:type="dxa" w:w="1500"/>
          </w:tcPr>
          <w:p>
            <w:r>
              <w:t xml:space="preserve">0</w:t>
            </w:r>
          </w:p>
        </w:tc>
        <w:tc>
          <w:tcPr>
            <w:tcW w:type="dxa" w:w="1500"/>
          </w:tcPr>
          <w:p>
            <w:r>
              <w:t xml:space="preserve">2021-06-02</w:t>
            </w:r>
          </w:p>
        </w:tc>
        <w:tc>
          <w:tcPr>
            <w:tcW w:type="dxa" w:w="1500"/>
          </w:tcPr>
          <w:p>
            <w:r>
              <w:t xml:space="preserve">11</w:t>
            </w:r>
          </w:p>
        </w:tc>
        <w:tc>
          <w:tcPr>
            <w:tcW w:type="dxa" w:w="1500"/>
          </w:tcPr>
          <w:p>
            <w:r>
              <w:t xml:space="preserve">0</w:t>
            </w:r>
          </w:p>
        </w:tc>
        <w:tc>
          <w:tcPr>
            <w:tcW w:type="dxa" w:w="1500"/>
          </w:tcPr>
          <w:p>
            <w:r>
              <w:t xml:space="preserve">7,496</w:t>
            </w:r>
          </w:p>
        </w:tc>
        <w:tc>
          <w:tcPr>
            <w:tcW w:type="dxa" w:w="1500"/>
          </w:tcPr>
          <w:p>
            <w:r>
              <w:t xml:space="preserve">106</w:t>
            </w:r>
          </w:p>
        </w:tc>
      </w:tr>
      <w:tr>
        <w:tc>
          <w:tcPr>
            <w:tcW w:type="dxa" w:w="1500"/>
          </w:tcPr>
          <w:p>
            <w:r>
              <w:t xml:space="preserve">1</w:t>
            </w:r>
          </w:p>
        </w:tc>
        <w:tc>
          <w:tcPr>
            <w:tcW w:type="dxa" w:w="1500"/>
          </w:tcPr>
          <w:p>
            <w:r>
              <w:t xml:space="preserve">2021-06-09</w:t>
            </w:r>
          </w:p>
        </w:tc>
        <w:tc>
          <w:tcPr>
            <w:tcW w:type="dxa" w:w="1500"/>
          </w:tcPr>
          <w:p>
            <w:r>
              <w:t xml:space="preserve">13</w:t>
            </w:r>
          </w:p>
        </w:tc>
        <w:tc>
          <w:tcPr>
            <w:tcW w:type="dxa" w:w="1500"/>
          </w:tcPr>
          <w:p>
            <w:r>
              <w:t xml:space="preserve">1</w:t>
            </w:r>
          </w:p>
        </w:tc>
        <w:tc>
          <w:tcPr>
            <w:tcW w:type="dxa" w:w="1500"/>
          </w:tcPr>
          <w:p>
            <w:r>
              <w:t xml:space="preserve">7,509</w:t>
            </w:r>
          </w:p>
        </w:tc>
        <w:tc>
          <w:tcPr>
            <w:tcW w:type="dxa" w:w="1500"/>
          </w:tcPr>
          <w:p>
            <w:r>
              <w:t xml:space="preserve">107</w:t>
            </w:r>
          </w:p>
        </w:tc>
      </w:tr>
      <w:tr>
        <w:tc>
          <w:tcPr>
            <w:tcW w:type="dxa" w:w="1500"/>
          </w:tcPr>
          <w:p>
            <w:r>
              <w:t xml:space="preserve">2</w:t>
            </w:r>
          </w:p>
        </w:tc>
        <w:tc>
          <w:tcPr>
            <w:tcW w:type="dxa" w:w="1500"/>
          </w:tcPr>
          <w:p>
            <w:r>
              <w:t xml:space="preserve">2021-06-16</w:t>
            </w:r>
          </w:p>
        </w:tc>
        <w:tc>
          <w:tcPr>
            <w:tcW w:type="dxa" w:w="1500"/>
          </w:tcPr>
          <w:p>
            <w:r>
              <w:t xml:space="preserve">10</w:t>
            </w:r>
          </w:p>
        </w:tc>
        <w:tc>
          <w:tcPr>
            <w:tcW w:type="dxa" w:w="1500"/>
          </w:tcPr>
          <w:p>
            <w:r>
              <w:t xml:space="preserve">0</w:t>
            </w:r>
          </w:p>
        </w:tc>
        <w:tc>
          <w:tcPr>
            <w:tcW w:type="dxa" w:w="1500"/>
          </w:tcPr>
          <w:p>
            <w:r>
              <w:t xml:space="preserve">7,519</w:t>
            </w:r>
          </w:p>
        </w:tc>
        <w:tc>
          <w:tcPr>
            <w:tcW w:type="dxa" w:w="1500"/>
          </w:tcPr>
          <w:p>
            <w:r>
              <w:t xml:space="preserve">107</w:t>
            </w:r>
          </w:p>
        </w:tc>
      </w:tr>
      <w:tr>
        <w:tc>
          <w:tcPr>
            <w:tcW w:type="dxa" w:w="1500"/>
          </w:tcPr>
          <w:p>
            <w:r>
              <w:t xml:space="preserve">3</w:t>
            </w:r>
          </w:p>
        </w:tc>
        <w:tc>
          <w:tcPr>
            <w:tcW w:type="dxa" w:w="1500"/>
          </w:tcPr>
          <w:p>
            <w:r>
              <w:t xml:space="preserve">2021-06-23</w:t>
            </w:r>
          </w:p>
        </w:tc>
        <w:tc>
          <w:tcPr>
            <w:tcW w:type="dxa" w:w="1500"/>
          </w:tcPr>
          <w:p>
            <w:r>
              <w:t xml:space="preserve">7</w:t>
            </w:r>
          </w:p>
        </w:tc>
        <w:tc>
          <w:tcPr>
            <w:tcW w:type="dxa" w:w="1500"/>
          </w:tcPr>
          <w:p>
            <w:r>
              <w:t xml:space="preserve">0</w:t>
            </w:r>
          </w:p>
        </w:tc>
        <w:tc>
          <w:tcPr>
            <w:tcW w:type="dxa" w:w="1500"/>
          </w:tcPr>
          <w:p>
            <w:r>
              <w:t xml:space="preserve">7,526</w:t>
            </w:r>
          </w:p>
        </w:tc>
        <w:tc>
          <w:tcPr>
            <w:tcW w:type="dxa" w:w="1500"/>
          </w:tcPr>
          <w:p>
            <w:r>
              <w:t xml:space="preserve">107</w:t>
            </w:r>
          </w:p>
        </w:tc>
      </w:tr>
      <w:tr>
        <w:tc>
          <w:tcPr>
            <w:tcW w:type="dxa" w:w="1500"/>
          </w:tcPr>
          <w:p>
            <w:r>
              <w:t xml:space="preserve">4</w:t>
            </w:r>
          </w:p>
        </w:tc>
        <w:tc>
          <w:tcPr>
            <w:tcW w:type="dxa" w:w="1500"/>
          </w:tcPr>
          <w:p>
            <w:r>
              <w:t xml:space="preserve">2021-06-30</w:t>
            </w:r>
          </w:p>
        </w:tc>
        <w:tc>
          <w:tcPr>
            <w:tcW w:type="dxa" w:w="1500"/>
          </w:tcPr>
          <w:p>
            <w:r>
              <w:t xml:space="preserve">10</w:t>
            </w:r>
          </w:p>
        </w:tc>
        <w:tc>
          <w:tcPr>
            <w:tcW w:type="dxa" w:w="1500"/>
          </w:tcPr>
          <w:p>
            <w:r>
              <w:t xml:space="preserve">0</w:t>
            </w:r>
          </w:p>
        </w:tc>
        <w:tc>
          <w:tcPr>
            <w:tcW w:type="dxa" w:w="1500"/>
          </w:tcPr>
          <w:p>
            <w:r>
              <w:t xml:space="preserve">7,536</w:t>
            </w:r>
          </w:p>
        </w:tc>
        <w:tc>
          <w:tcPr>
            <w:tcW w:type="dxa" w:w="1500"/>
          </w:tcPr>
          <w:p>
            <w:r>
              <w:t xml:space="preserve">107</w:t>
            </w:r>
          </w:p>
        </w:tc>
      </w:tr>
      <w:tr>
        <w:tc>
          <w:tcPr>
            <w:tcW w:type="dxa" w:w="1500"/>
          </w:tcPr>
          <w:p>
            <w:r>
              <w:t xml:space="preserve">5</w:t>
            </w:r>
          </w:p>
        </w:tc>
        <w:tc>
          <w:tcPr>
            <w:tcW w:type="dxa" w:w="1500"/>
          </w:tcPr>
          <w:p>
            <w:r>
              <w:t xml:space="preserve">2021-07-07</w:t>
            </w:r>
          </w:p>
        </w:tc>
        <w:tc>
          <w:tcPr>
            <w:tcW w:type="dxa" w:w="1500"/>
          </w:tcPr>
          <w:p>
            <w:r>
              <w:t xml:space="preserve">17</w:t>
            </w:r>
          </w:p>
        </w:tc>
        <w:tc>
          <w:tcPr>
            <w:tcW w:type="dxa" w:w="1500"/>
          </w:tcPr>
          <w:p>
            <w:r>
              <w:t xml:space="preserve">2</w:t>
            </w:r>
          </w:p>
        </w:tc>
        <w:tc>
          <w:tcPr>
            <w:tcW w:type="dxa" w:w="1500"/>
          </w:tcPr>
          <w:p>
            <w:r>
              <w:t xml:space="preserve">7,553</w:t>
            </w:r>
          </w:p>
        </w:tc>
        <w:tc>
          <w:tcPr>
            <w:tcW w:type="dxa" w:w="1500"/>
          </w:tcPr>
          <w:p>
            <w:r>
              <w:t xml:space="preserve">109</w:t>
            </w:r>
          </w:p>
        </w:tc>
      </w:tr>
      <w:tr>
        <w:tc>
          <w:tcPr>
            <w:tcW w:type="dxa" w:w="1500"/>
          </w:tcPr>
          <w:p>
            <w:r>
              <w:t xml:space="preserve">6</w:t>
            </w:r>
          </w:p>
        </w:tc>
        <w:tc>
          <w:tcPr>
            <w:tcW w:type="dxa" w:w="1500"/>
          </w:tcPr>
          <w:p>
            <w:r>
              <w:t xml:space="preserve">2021-07-14</w:t>
            </w:r>
          </w:p>
        </w:tc>
        <w:tc>
          <w:tcPr>
            <w:tcW w:type="dxa" w:w="1500"/>
          </w:tcPr>
          <w:p>
            <w:r>
              <w:t xml:space="preserve">13</w:t>
            </w:r>
          </w:p>
        </w:tc>
        <w:tc>
          <w:tcPr>
            <w:tcW w:type="dxa" w:w="1500"/>
          </w:tcPr>
          <w:p>
            <w:r>
              <w:t xml:space="preserve">1</w:t>
            </w:r>
          </w:p>
        </w:tc>
        <w:tc>
          <w:tcPr>
            <w:tcW w:type="dxa" w:w="1500"/>
          </w:tcPr>
          <w:p>
            <w:r>
              <w:t xml:space="preserve">7,566</w:t>
            </w:r>
          </w:p>
        </w:tc>
        <w:tc>
          <w:tcPr>
            <w:tcW w:type="dxa" w:w="1500"/>
          </w:tcPr>
          <w:p>
            <w:r>
              <w:t xml:space="preserve">110</w:t>
            </w:r>
          </w:p>
        </w:tc>
      </w:tr>
      <w:tr>
        <w:tc>
          <w:tcPr>
            <w:tcW w:type="dxa" w:w="1500"/>
          </w:tcPr>
          <w:p>
            <w:r>
              <w:t xml:space="preserve">7</w:t>
            </w:r>
          </w:p>
        </w:tc>
        <w:tc>
          <w:tcPr>
            <w:tcW w:type="dxa" w:w="1500"/>
          </w:tcPr>
          <w:p>
            <w:r>
              <w:t xml:space="preserve">2021-07-21</w:t>
            </w:r>
          </w:p>
        </w:tc>
        <w:tc>
          <w:tcPr>
            <w:tcW w:type="dxa" w:w="1500"/>
          </w:tcPr>
          <w:p>
            <w:r>
              <w:t xml:space="preserve">37</w:t>
            </w:r>
          </w:p>
        </w:tc>
        <w:tc>
          <w:tcPr>
            <w:tcW w:type="dxa" w:w="1500"/>
          </w:tcPr>
          <w:p>
            <w:r>
              <w:t xml:space="preserve">0</w:t>
            </w:r>
          </w:p>
        </w:tc>
        <w:tc>
          <w:tcPr>
            <w:tcW w:type="dxa" w:w="1500"/>
          </w:tcPr>
          <w:p>
            <w:r>
              <w:t xml:space="preserve">7,603</w:t>
            </w:r>
          </w:p>
        </w:tc>
        <w:tc>
          <w:tcPr>
            <w:tcW w:type="dxa" w:w="1500"/>
          </w:tcPr>
          <w:p>
            <w:r>
              <w:t xml:space="preserve">110</w:t>
            </w:r>
          </w:p>
        </w:tc>
      </w:tr>
      <w:tr>
        <w:tc>
          <w:tcPr>
            <w:tcW w:type="dxa" w:w="1500"/>
          </w:tcPr>
          <w:p>
            <w:r>
              <w:t xml:space="preserve">8</w:t>
            </w:r>
          </w:p>
        </w:tc>
        <w:tc>
          <w:tcPr>
            <w:tcW w:type="dxa" w:w="1500"/>
          </w:tcPr>
          <w:p>
            <w:r>
              <w:t xml:space="preserve">2021-07-28</w:t>
            </w:r>
          </w:p>
        </w:tc>
        <w:tc>
          <w:tcPr>
            <w:tcW w:type="dxa" w:w="1500"/>
          </w:tcPr>
          <w:p>
            <w:r>
              <w:t xml:space="preserve">67</w:t>
            </w:r>
          </w:p>
        </w:tc>
        <w:tc>
          <w:tcPr>
            <w:tcW w:type="dxa" w:w="1500"/>
          </w:tcPr>
          <w:p>
            <w:r>
              <w:t xml:space="preserve">0</w:t>
            </w:r>
          </w:p>
        </w:tc>
        <w:tc>
          <w:tcPr>
            <w:tcW w:type="dxa" w:w="1500"/>
          </w:tcPr>
          <w:p>
            <w:r>
              <w:t xml:space="preserve">7,670</w:t>
            </w:r>
          </w:p>
        </w:tc>
        <w:tc>
          <w:tcPr>
            <w:tcW w:type="dxa" w:w="1500"/>
          </w:tcPr>
          <w:p>
            <w:r>
              <w:t xml:space="preserve">110</w:t>
            </w:r>
          </w:p>
        </w:tc>
      </w:tr>
      <w:tr>
        <w:tc>
          <w:tcPr>
            <w:tcW w:type="dxa" w:w="1500"/>
          </w:tcPr>
          <w:p>
            <w:r>
              <w:t xml:space="preserve">9</w:t>
            </w:r>
          </w:p>
        </w:tc>
        <w:tc>
          <w:tcPr>
            <w:tcW w:type="dxa" w:w="1500"/>
          </w:tcPr>
          <w:p>
            <w:r>
              <w:t xml:space="preserve">2021-08-04</w:t>
            </w:r>
          </w:p>
        </w:tc>
        <w:tc>
          <w:tcPr>
            <w:tcW w:type="dxa" w:w="1500"/>
          </w:tcPr>
          <w:p>
            <w:r>
              <w:t xml:space="preserve">110</w:t>
            </w:r>
          </w:p>
        </w:tc>
        <w:tc>
          <w:tcPr>
            <w:tcW w:type="dxa" w:w="1500"/>
          </w:tcPr>
          <w:p>
            <w:r>
              <w:t xml:space="preserve">0</w:t>
            </w:r>
          </w:p>
        </w:tc>
        <w:tc>
          <w:tcPr>
            <w:tcW w:type="dxa" w:w="1500"/>
          </w:tcPr>
          <w:p>
            <w:r>
              <w:t xml:space="preserve">7,780</w:t>
            </w:r>
          </w:p>
        </w:tc>
        <w:tc>
          <w:tcPr>
            <w:tcW w:type="dxa" w:w="1500"/>
          </w:tcPr>
          <w:p>
            <w:r>
              <w:t xml:space="preserve">110</w:t>
            </w:r>
          </w:p>
        </w:tc>
      </w:tr>
      <w:tr>
        <w:tc>
          <w:tcPr>
            <w:tcW w:type="dxa" w:w="1500"/>
          </w:tcPr>
          <w:p>
            <w:r>
              <w:t xml:space="preserve">10</w:t>
            </w:r>
          </w:p>
        </w:tc>
        <w:tc>
          <w:tcPr>
            <w:tcW w:type="dxa" w:w="1500"/>
          </w:tcPr>
          <w:p>
            <w:r>
              <w:t xml:space="preserve">2021-08-11</w:t>
            </w:r>
          </w:p>
        </w:tc>
        <w:tc>
          <w:tcPr>
            <w:tcW w:type="dxa" w:w="1500"/>
          </w:tcPr>
          <w:p>
            <w:r>
              <w:t xml:space="preserve">196</w:t>
            </w:r>
          </w:p>
        </w:tc>
        <w:tc>
          <w:tcPr>
            <w:tcW w:type="dxa" w:w="1500"/>
          </w:tcPr>
          <w:p>
            <w:r>
              <w:t xml:space="preserve">1</w:t>
            </w:r>
          </w:p>
        </w:tc>
        <w:tc>
          <w:tcPr>
            <w:tcW w:type="dxa" w:w="1500"/>
          </w:tcPr>
          <w:p>
            <w:r>
              <w:t xml:space="preserve">7,976</w:t>
            </w:r>
          </w:p>
        </w:tc>
        <w:tc>
          <w:tcPr>
            <w:tcW w:type="dxa" w:w="1500"/>
          </w:tcPr>
          <w:p>
            <w:r>
              <w:t xml:space="preserve">111</w:t>
            </w:r>
          </w:p>
        </w:tc>
      </w:tr>
      <w:tr>
        <w:tc>
          <w:tcPr>
            <w:tcW w:type="dxa" w:w="1500"/>
          </w:tcPr>
          <w:p>
            <w:r>
              <w:t xml:space="preserve">11</w:t>
            </w:r>
          </w:p>
        </w:tc>
        <w:tc>
          <w:tcPr>
            <w:tcW w:type="dxa" w:w="1500"/>
          </w:tcPr>
          <w:p>
            <w:r>
              <w:t xml:space="preserve">2021-08-18</w:t>
            </w:r>
          </w:p>
        </w:tc>
        <w:tc>
          <w:tcPr>
            <w:tcW w:type="dxa" w:w="1500"/>
          </w:tcPr>
          <w:p>
            <w:r>
              <w:t xml:space="preserve">318</w:t>
            </w:r>
          </w:p>
        </w:tc>
        <w:tc>
          <w:tcPr>
            <w:tcW w:type="dxa" w:w="1500"/>
          </w:tcPr>
          <w:p>
            <w:r>
              <w:t xml:space="preserve">0</w:t>
            </w:r>
          </w:p>
        </w:tc>
        <w:tc>
          <w:tcPr>
            <w:tcW w:type="dxa" w:w="1500"/>
          </w:tcPr>
          <w:p>
            <w:r>
              <w:t xml:space="preserve">8,294</w:t>
            </w:r>
          </w:p>
        </w:tc>
        <w:tc>
          <w:tcPr>
            <w:tcW w:type="dxa" w:w="1500"/>
          </w:tcPr>
          <w:p>
            <w:r>
              <w:t xml:space="preserve">111</w:t>
            </w:r>
          </w:p>
        </w:tc>
      </w:tr>
      <w:tr>
        <w:tc>
          <w:tcPr>
            <w:tcW w:type="dxa" w:w="1500"/>
          </w:tcPr>
          <w:p>
            <w:r>
              <w:t xml:space="preserve">12</w:t>
            </w:r>
          </w:p>
        </w:tc>
        <w:tc>
          <w:tcPr>
            <w:tcW w:type="dxa" w:w="1500"/>
          </w:tcPr>
          <w:p>
            <w:r>
              <w:t xml:space="preserve">2021-08-25</w:t>
            </w:r>
          </w:p>
        </w:tc>
        <w:tc>
          <w:tcPr>
            <w:tcW w:type="dxa" w:w="1500"/>
          </w:tcPr>
          <w:p>
            <w:r>
              <w:t xml:space="preserve">284</w:t>
            </w:r>
          </w:p>
        </w:tc>
        <w:tc>
          <w:tcPr>
            <w:tcW w:type="dxa" w:w="1500"/>
          </w:tcPr>
          <w:p>
            <w:r>
              <w:t xml:space="preserve">2</w:t>
            </w:r>
          </w:p>
        </w:tc>
        <w:tc>
          <w:tcPr>
            <w:tcW w:type="dxa" w:w="1500"/>
          </w:tcPr>
          <w:p>
            <w:r>
              <w:t xml:space="preserve">8,578</w:t>
            </w:r>
          </w:p>
        </w:tc>
        <w:tc>
          <w:tcPr>
            <w:tcW w:type="dxa" w:w="1500"/>
          </w:tcPr>
          <w:p>
            <w:r>
              <w:t xml:space="preserve">113</w:t>
            </w:r>
          </w:p>
        </w:tc>
      </w:tr>
      <w:tr>
        <w:tc>
          <w:tcPr>
            <w:tcW w:type="dxa" w:w="1500"/>
          </w:tcPr>
          <w:p>
            <w:r>
              <w:t xml:space="preserve">13</w:t>
            </w:r>
          </w:p>
        </w:tc>
        <w:tc>
          <w:tcPr>
            <w:tcW w:type="dxa" w:w="1500"/>
          </w:tcPr>
          <w:p>
            <w:r>
              <w:t xml:space="preserve">2021-09-01</w:t>
            </w:r>
          </w:p>
        </w:tc>
        <w:tc>
          <w:tcPr>
            <w:tcW w:type="dxa" w:w="1500"/>
          </w:tcPr>
          <w:p>
            <w:r>
              <w:t xml:space="preserve">285</w:t>
            </w:r>
          </w:p>
        </w:tc>
        <w:tc>
          <w:tcPr>
            <w:tcW w:type="dxa" w:w="1500"/>
          </w:tcPr>
          <w:p>
            <w:r>
              <w:t xml:space="preserve">2</w:t>
            </w:r>
          </w:p>
        </w:tc>
        <w:tc>
          <w:tcPr>
            <w:tcW w:type="dxa" w:w="1500"/>
          </w:tcPr>
          <w:p>
            <w:r>
              <w:t xml:space="preserve">8,863</w:t>
            </w:r>
          </w:p>
        </w:tc>
        <w:tc>
          <w:tcPr>
            <w:tcW w:type="dxa" w:w="1500"/>
          </w:tcPr>
          <w:p>
            <w:r>
              <w:t xml:space="preserve">115</w:t>
            </w:r>
          </w:p>
        </w:tc>
      </w:tr>
      <w:tr>
        <w:tc>
          <w:tcPr>
            <w:tcW w:type="dxa" w:w="1500"/>
          </w:tcPr>
          <w:p>
            <w:r>
              <w:t xml:space="preserve">14</w:t>
            </w:r>
          </w:p>
        </w:tc>
        <w:tc>
          <w:tcPr>
            <w:tcW w:type="dxa" w:w="1500"/>
          </w:tcPr>
          <w:p>
            <w:r>
              <w:t xml:space="preserve">2021-09-08</w:t>
            </w:r>
          </w:p>
        </w:tc>
        <w:tc>
          <w:tcPr>
            <w:tcW w:type="dxa" w:w="1500"/>
          </w:tcPr>
          <w:p>
            <w:r>
              <w:t xml:space="preserve">224</w:t>
            </w:r>
          </w:p>
        </w:tc>
        <w:tc>
          <w:tcPr>
            <w:tcW w:type="dxa" w:w="1500"/>
          </w:tcPr>
          <w:p>
            <w:r>
              <w:t xml:space="preserve">3</w:t>
            </w:r>
          </w:p>
        </w:tc>
        <w:tc>
          <w:tcPr>
            <w:tcW w:type="dxa" w:w="1500"/>
          </w:tcPr>
          <w:p>
            <w:r>
              <w:t xml:space="preserve">9,087</w:t>
            </w:r>
          </w:p>
        </w:tc>
        <w:tc>
          <w:tcPr>
            <w:tcW w:type="dxa" w:w="1500"/>
          </w:tcPr>
          <w:p>
            <w:r>
              <w:t xml:space="preserve">118</w:t>
            </w:r>
          </w:p>
        </w:tc>
      </w:tr>
      <w:tr>
        <w:tc>
          <w:tcPr>
            <w:tcW w:type="dxa" w:w="1500"/>
          </w:tcPr>
          <w:p>
            <w:r>
              <w:t xml:space="preserve">15</w:t>
            </w:r>
          </w:p>
        </w:tc>
        <w:tc>
          <w:tcPr>
            <w:tcW w:type="dxa" w:w="1500"/>
          </w:tcPr>
          <w:p>
            <w:r>
              <w:t xml:space="preserve">2021-09-15</w:t>
            </w:r>
          </w:p>
        </w:tc>
        <w:tc>
          <w:tcPr>
            <w:tcW w:type="dxa" w:w="1500"/>
          </w:tcPr>
          <w:p>
            <w:r>
              <w:t xml:space="preserve">243</w:t>
            </w:r>
          </w:p>
        </w:tc>
        <w:tc>
          <w:tcPr>
            <w:tcW w:type="dxa" w:w="1500"/>
          </w:tcPr>
          <w:p>
            <w:r>
              <w:t xml:space="preserve">0</w:t>
            </w:r>
          </w:p>
        </w:tc>
        <w:tc>
          <w:tcPr>
            <w:tcW w:type="dxa" w:w="1500"/>
          </w:tcPr>
          <w:p>
            <w:r>
              <w:t xml:space="preserve">9,330</w:t>
            </w:r>
          </w:p>
        </w:tc>
        <w:tc>
          <w:tcPr>
            <w:tcW w:type="dxa" w:w="1500"/>
          </w:tcPr>
          <w:p>
            <w:r>
              <w:t xml:space="preserve">118</w:t>
            </w:r>
          </w:p>
        </w:tc>
      </w:tr>
      <w:tr>
        <w:tc>
          <w:tcPr>
            <w:tcW w:type="dxa" w:w="1500"/>
          </w:tcPr>
          <w:p>
            <w:r>
              <w:t xml:space="preserve">16</w:t>
            </w:r>
          </w:p>
        </w:tc>
        <w:tc>
          <w:tcPr>
            <w:tcW w:type="dxa" w:w="1500"/>
          </w:tcPr>
          <w:p>
            <w:r>
              <w:t xml:space="preserve">2021-09-22</w:t>
            </w:r>
          </w:p>
        </w:tc>
        <w:tc>
          <w:tcPr>
            <w:tcW w:type="dxa" w:w="1500"/>
          </w:tcPr>
          <w:p>
            <w:r>
              <w:t xml:space="preserve">378</w:t>
            </w:r>
          </w:p>
        </w:tc>
        <w:tc>
          <w:tcPr>
            <w:tcW w:type="dxa" w:w="1500"/>
          </w:tcPr>
          <w:p>
            <w:r>
              <w:t xml:space="preserve">3</w:t>
            </w:r>
          </w:p>
        </w:tc>
        <w:tc>
          <w:tcPr>
            <w:tcW w:type="dxa" w:w="1500"/>
          </w:tcPr>
          <w:p>
            <w:r>
              <w:t xml:space="preserve">9,708</w:t>
            </w:r>
          </w:p>
        </w:tc>
        <w:tc>
          <w:tcPr>
            <w:tcW w:type="dxa" w:w="1500"/>
          </w:tcPr>
          <w:p>
            <w:r>
              <w:t xml:space="preserve">121</w:t>
            </w:r>
          </w:p>
        </w:tc>
      </w:tr>
      <w:tr>
        <w:tc>
          <w:tcPr>
            <w:tcW w:type="dxa" w:w="1500"/>
          </w:tcPr>
          <w:p>
            <w:r>
              <w:t xml:space="preserve">17</w:t>
            </w:r>
          </w:p>
        </w:tc>
        <w:tc>
          <w:tcPr>
            <w:tcW w:type="dxa" w:w="1500"/>
          </w:tcPr>
          <w:p>
            <w:r>
              <w:t xml:space="preserve">2021-09-29</w:t>
            </w:r>
          </w:p>
        </w:tc>
        <w:tc>
          <w:tcPr>
            <w:tcW w:type="dxa" w:w="1500"/>
          </w:tcPr>
          <w:p>
            <w:r>
              <w:t xml:space="preserve">262</w:t>
            </w:r>
          </w:p>
        </w:tc>
        <w:tc>
          <w:tcPr>
            <w:tcW w:type="dxa" w:w="1500"/>
          </w:tcPr>
          <w:p>
            <w:r>
              <w:t xml:space="preserve">3</w:t>
            </w:r>
          </w:p>
        </w:tc>
        <w:tc>
          <w:tcPr>
            <w:tcW w:type="dxa" w:w="1500"/>
          </w:tcPr>
          <w:p>
            <w:r>
              <w:t xml:space="preserve">9,970</w:t>
            </w:r>
          </w:p>
        </w:tc>
        <w:tc>
          <w:tcPr>
            <w:tcW w:type="dxa" w:w="1500"/>
          </w:tcPr>
          <w:p>
            <w:r>
              <w:t xml:space="preserve">124</w:t>
            </w:r>
          </w:p>
        </w:tc>
      </w:tr>
      <w:tr>
        <w:tc>
          <w:tcPr>
            <w:tcW w:type="dxa" w:w="1500"/>
          </w:tcPr>
          <w:p>
            <w:r>
              <w:t xml:space="preserve">18</w:t>
            </w:r>
          </w:p>
        </w:tc>
        <w:tc>
          <w:tcPr>
            <w:tcW w:type="dxa" w:w="1500"/>
          </w:tcPr>
          <w:p>
            <w:r>
              <w:t xml:space="preserve">2021-10-06</w:t>
            </w:r>
          </w:p>
        </w:tc>
        <w:tc>
          <w:tcPr>
            <w:tcW w:type="dxa" w:w="1500"/>
          </w:tcPr>
          <w:p>
            <w:r>
              <w:t xml:space="preserve">244</w:t>
            </w:r>
          </w:p>
        </w:tc>
        <w:tc>
          <w:tcPr>
            <w:tcW w:type="dxa" w:w="1500"/>
          </w:tcPr>
          <w:p>
            <w:r>
              <w:t xml:space="preserve">2</w:t>
            </w:r>
          </w:p>
        </w:tc>
        <w:tc>
          <w:tcPr>
            <w:tcW w:type="dxa" w:w="1500"/>
          </w:tcPr>
          <w:p>
            <w:r>
              <w:t xml:space="preserve">10,214</w:t>
            </w:r>
          </w:p>
        </w:tc>
        <w:tc>
          <w:tcPr>
            <w:tcW w:type="dxa" w:w="1500"/>
          </w:tcPr>
          <w:p>
            <w:r>
              <w:t xml:space="preserve">126</w:t>
            </w:r>
          </w:p>
        </w:tc>
      </w:tr>
    </w:tbl>
    <w:p/>
    <w:p>
      <w:r>
        <w:rPr>
          <w:b/>
          <w:bCs/>
        </w:rPr>
        <w:t xml:space="preserve">Fitted model of record.</w:t>
      </w:r>
      <w:r>
        <w:t xml:space="preserve"> The district's epidemiologist fitted a single cubic to the </w:t>
      </w:r>
      <w:r>
        <w:rPr>
          <w:b/>
          <w:bCs/>
        </w:rPr>
        <w:t xml:space="preserve">New cases</w:t>
      </w:r>
      <w:r>
        <w:t xml:space="preserve"> column above by ordinary least squares, </w:t>
      </w:r>
      <w:r>
        <w:rPr>
          <w:rFonts w:ascii="Courier New" w:cs="Courier New" w:eastAsia="Courier New" w:hAnsi="Courier New"/>
        </w:rPr>
        <w:t xml:space="preserve">t</w:t>
      </w:r>
      <w:r>
        <w:t xml:space="preserve"> in weeks from the first row, coefficients rounded to four decimal places [S7]:</w:t>
      </w:r>
    </w:p>
    <w:p>
      <w:pPr>
        <w:shd w:fill="F0F0F0" w:val="clear"/>
      </w:pPr>
      <w:r>
        <w:rPr>
          <w:rFonts w:ascii="Courier New" w:cs="Courier New" w:eastAsia="Courier New" w:hAnsi="Courier New"/>
        </w:rPr>
        <w:t xml:space="preserve">P(t) = -0.3348 t^3 + 8.9975 t^2 - 42.0177 t + 38.2994</w:t>
      </w:r>
    </w:p>
    <w:p>
      <w:pPr>
        <w:pStyle w:val="Heading2"/>
        <w:spacing w:after="120" w:before="240"/>
      </w:pPr>
      <w:r>
        <w:t xml:space="preserve">Appendix B — The Current Wave: Weekly Reported Cases Through the Decision Week</w:t>
      </w:r>
    </w:p>
    <w:p>
      <w:r>
        <w:t xml:space="preserve">Same county, same published series [S1]. The current wave, from the week the previous window closed through the decision week. </w:t>
      </w:r>
      <w:r>
        <w:rPr>
          <w:rFonts w:ascii="Courier New" w:cs="Courier New" w:eastAsia="Courier New" w:hAnsi="Courier New"/>
        </w:rPr>
        <w:t xml:space="preserve">t</w:t>
      </w:r>
      <w:r>
        <w:t xml:space="preserve"> counts weeks from the first row of </w:t>
      </w:r>
      <w:r>
        <w:rPr>
          <w:b/>
          <w:bCs/>
        </w:rPr>
        <w:t xml:space="preserve">this</w:t>
      </w:r>
      <w:r>
        <w:t xml:space="preserve"> table, so </w:t>
      </w:r>
      <w:r>
        <w:rPr>
          <w:rFonts w:ascii="Courier New" w:cs="Courier New" w:eastAsia="Courier New" w:hAnsi="Courier New"/>
        </w:rPr>
        <w:t xml:space="preserve">t = 0</w:t>
      </w:r>
      <w:r>
        <w:t xml:space="preserve"> here is the same calendar week as </w:t>
      </w:r>
      <w:r>
        <w:rPr>
          <w:rFonts w:ascii="Courier New" w:cs="Courier New" w:eastAsia="Courier New" w:hAnsi="Courier New"/>
        </w:rPr>
        <w:t xml:space="preserve">t = 18</w:t>
      </w:r>
      <w:r>
        <w:t xml:space="preserve"> in Appendix A. The decision week is </w:t>
      </w:r>
      <w:r>
        <w:rPr>
          <w:rFonts w:ascii="Courier New" w:cs="Courier New" w:eastAsia="Courier New" w:hAnsi="Courier New"/>
        </w:rPr>
        <w:t xml:space="preserve">t = 11</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t</w:t>
            </w:r>
          </w:p>
        </w:tc>
        <w:tc>
          <w:tcPr>
            <w:tcW w:type="dxa" w:w="1500"/>
            <w:shd w:fill="DDDDDD" w:val="clear"/>
          </w:tcPr>
          <w:p>
            <w:r>
              <w:t xml:space="preserve">Week ending</w:t>
            </w:r>
          </w:p>
        </w:tc>
        <w:tc>
          <w:tcPr>
            <w:tcW w:type="dxa" w:w="1500"/>
            <w:shd w:fill="DDDDDD" w:val="clear"/>
          </w:tcPr>
          <w:p>
            <w:r>
              <w:t xml:space="preserve">New cases</w:t>
            </w:r>
          </w:p>
        </w:tc>
        <w:tc>
          <w:tcPr>
            <w:tcW w:type="dxa" w:w="1500"/>
            <w:shd w:fill="DDDDDD" w:val="clear"/>
          </w:tcPr>
          <w:p>
            <w:r>
              <w:t xml:space="preserve">New deaths</w:t>
            </w:r>
          </w:p>
        </w:tc>
        <w:tc>
          <w:tcPr>
            <w:tcW w:type="dxa" w:w="1500"/>
            <w:shd w:fill="DDDDDD" w:val="clear"/>
          </w:tcPr>
          <w:p>
            <w:r>
              <w:t xml:space="preserve">Cumulative cases</w:t>
            </w:r>
          </w:p>
        </w:tc>
        <w:tc>
          <w:tcPr>
            <w:tcW w:type="dxa" w:w="1500"/>
            <w:shd w:fill="DDDDDD" w:val="clear"/>
          </w:tcPr>
          <w:p>
            <w:r>
              <w:t xml:space="preserve">Cumulative deaths</w:t>
            </w:r>
          </w:p>
        </w:tc>
      </w:tr>
      <w:tr>
        <w:tc>
          <w:tcPr>
            <w:tcW w:type="dxa" w:w="1500"/>
          </w:tcPr>
          <w:p>
            <w:r>
              <w:t xml:space="preserve">0</w:t>
            </w:r>
          </w:p>
        </w:tc>
        <w:tc>
          <w:tcPr>
            <w:tcW w:type="dxa" w:w="1500"/>
          </w:tcPr>
          <w:p>
            <w:r>
              <w:t xml:space="preserve">2021-10-06</w:t>
            </w:r>
          </w:p>
        </w:tc>
        <w:tc>
          <w:tcPr>
            <w:tcW w:type="dxa" w:w="1500"/>
          </w:tcPr>
          <w:p>
            <w:r>
              <w:t xml:space="preserve">244</w:t>
            </w:r>
          </w:p>
        </w:tc>
        <w:tc>
          <w:tcPr>
            <w:tcW w:type="dxa" w:w="1500"/>
          </w:tcPr>
          <w:p>
            <w:r>
              <w:t xml:space="preserve">2</w:t>
            </w:r>
          </w:p>
        </w:tc>
        <w:tc>
          <w:tcPr>
            <w:tcW w:type="dxa" w:w="1500"/>
          </w:tcPr>
          <w:p>
            <w:r>
              <w:t xml:space="preserve">10,214</w:t>
            </w:r>
          </w:p>
        </w:tc>
        <w:tc>
          <w:tcPr>
            <w:tcW w:type="dxa" w:w="1500"/>
          </w:tcPr>
          <w:p>
            <w:r>
              <w:t xml:space="preserve">126</w:t>
            </w:r>
          </w:p>
        </w:tc>
      </w:tr>
      <w:tr>
        <w:tc>
          <w:tcPr>
            <w:tcW w:type="dxa" w:w="1500"/>
          </w:tcPr>
          <w:p>
            <w:r>
              <w:t xml:space="preserve">1</w:t>
            </w:r>
          </w:p>
        </w:tc>
        <w:tc>
          <w:tcPr>
            <w:tcW w:type="dxa" w:w="1500"/>
          </w:tcPr>
          <w:p>
            <w:r>
              <w:t xml:space="preserve">2021-10-13</w:t>
            </w:r>
          </w:p>
        </w:tc>
        <w:tc>
          <w:tcPr>
            <w:tcW w:type="dxa" w:w="1500"/>
          </w:tcPr>
          <w:p>
            <w:r>
              <w:t xml:space="preserve">281</w:t>
            </w:r>
          </w:p>
        </w:tc>
        <w:tc>
          <w:tcPr>
            <w:tcW w:type="dxa" w:w="1500"/>
          </w:tcPr>
          <w:p>
            <w:r>
              <w:t xml:space="preserve">0</w:t>
            </w:r>
          </w:p>
        </w:tc>
        <w:tc>
          <w:tcPr>
            <w:tcW w:type="dxa" w:w="1500"/>
          </w:tcPr>
          <w:p>
            <w:r>
              <w:t xml:space="preserve">10,495</w:t>
            </w:r>
          </w:p>
        </w:tc>
        <w:tc>
          <w:tcPr>
            <w:tcW w:type="dxa" w:w="1500"/>
          </w:tcPr>
          <w:p>
            <w:r>
              <w:t xml:space="preserve">126</w:t>
            </w:r>
          </w:p>
        </w:tc>
      </w:tr>
      <w:tr>
        <w:tc>
          <w:tcPr>
            <w:tcW w:type="dxa" w:w="1500"/>
          </w:tcPr>
          <w:p>
            <w:r>
              <w:t xml:space="preserve">2</w:t>
            </w:r>
          </w:p>
        </w:tc>
        <w:tc>
          <w:tcPr>
            <w:tcW w:type="dxa" w:w="1500"/>
          </w:tcPr>
          <w:p>
            <w:r>
              <w:t xml:space="preserve">2021-10-20</w:t>
            </w:r>
          </w:p>
        </w:tc>
        <w:tc>
          <w:tcPr>
            <w:tcW w:type="dxa" w:w="1500"/>
          </w:tcPr>
          <w:p>
            <w:r>
              <w:t xml:space="preserve">315</w:t>
            </w:r>
          </w:p>
        </w:tc>
        <w:tc>
          <w:tcPr>
            <w:tcW w:type="dxa" w:w="1500"/>
          </w:tcPr>
          <w:p>
            <w:r>
              <w:t xml:space="preserve">1</w:t>
            </w:r>
          </w:p>
        </w:tc>
        <w:tc>
          <w:tcPr>
            <w:tcW w:type="dxa" w:w="1500"/>
          </w:tcPr>
          <w:p>
            <w:r>
              <w:t xml:space="preserve">10,810</w:t>
            </w:r>
          </w:p>
        </w:tc>
        <w:tc>
          <w:tcPr>
            <w:tcW w:type="dxa" w:w="1500"/>
          </w:tcPr>
          <w:p>
            <w:r>
              <w:t xml:space="preserve">127</w:t>
            </w:r>
          </w:p>
        </w:tc>
      </w:tr>
      <w:tr>
        <w:tc>
          <w:tcPr>
            <w:tcW w:type="dxa" w:w="1500"/>
          </w:tcPr>
          <w:p>
            <w:r>
              <w:t xml:space="preserve">3</w:t>
            </w:r>
          </w:p>
        </w:tc>
        <w:tc>
          <w:tcPr>
            <w:tcW w:type="dxa" w:w="1500"/>
          </w:tcPr>
          <w:p>
            <w:r>
              <w:t xml:space="preserve">2021-10-27</w:t>
            </w:r>
          </w:p>
        </w:tc>
        <w:tc>
          <w:tcPr>
            <w:tcW w:type="dxa" w:w="1500"/>
          </w:tcPr>
          <w:p>
            <w:r>
              <w:t xml:space="preserve">282</w:t>
            </w:r>
          </w:p>
        </w:tc>
        <w:tc>
          <w:tcPr>
            <w:tcW w:type="dxa" w:w="1500"/>
          </w:tcPr>
          <w:p>
            <w:r>
              <w:t xml:space="preserve">1</w:t>
            </w:r>
          </w:p>
        </w:tc>
        <w:tc>
          <w:tcPr>
            <w:tcW w:type="dxa" w:w="1500"/>
          </w:tcPr>
          <w:p>
            <w:r>
              <w:t xml:space="preserve">11,092</w:t>
            </w:r>
          </w:p>
        </w:tc>
        <w:tc>
          <w:tcPr>
            <w:tcW w:type="dxa" w:w="1500"/>
          </w:tcPr>
          <w:p>
            <w:r>
              <w:t xml:space="preserve">128</w:t>
            </w:r>
          </w:p>
        </w:tc>
      </w:tr>
      <w:tr>
        <w:tc>
          <w:tcPr>
            <w:tcW w:type="dxa" w:w="1500"/>
          </w:tcPr>
          <w:p>
            <w:r>
              <w:t xml:space="preserve">4</w:t>
            </w:r>
          </w:p>
        </w:tc>
        <w:tc>
          <w:tcPr>
            <w:tcW w:type="dxa" w:w="1500"/>
          </w:tcPr>
          <w:p>
            <w:r>
              <w:t xml:space="preserve">2021-11-03</w:t>
            </w:r>
          </w:p>
        </w:tc>
        <w:tc>
          <w:tcPr>
            <w:tcW w:type="dxa" w:w="1500"/>
          </w:tcPr>
          <w:p>
            <w:r>
              <w:t xml:space="preserve">305</w:t>
            </w:r>
          </w:p>
        </w:tc>
        <w:tc>
          <w:tcPr>
            <w:tcW w:type="dxa" w:w="1500"/>
          </w:tcPr>
          <w:p>
            <w:r>
              <w:t xml:space="preserve">1</w:t>
            </w:r>
          </w:p>
        </w:tc>
        <w:tc>
          <w:tcPr>
            <w:tcW w:type="dxa" w:w="1500"/>
          </w:tcPr>
          <w:p>
            <w:r>
              <w:t xml:space="preserve">11,397</w:t>
            </w:r>
          </w:p>
        </w:tc>
        <w:tc>
          <w:tcPr>
            <w:tcW w:type="dxa" w:w="1500"/>
          </w:tcPr>
          <w:p>
            <w:r>
              <w:t xml:space="preserve">129</w:t>
            </w:r>
          </w:p>
        </w:tc>
      </w:tr>
      <w:tr>
        <w:tc>
          <w:tcPr>
            <w:tcW w:type="dxa" w:w="1500"/>
          </w:tcPr>
          <w:p>
            <w:r>
              <w:t xml:space="preserve">5</w:t>
            </w:r>
          </w:p>
        </w:tc>
        <w:tc>
          <w:tcPr>
            <w:tcW w:type="dxa" w:w="1500"/>
          </w:tcPr>
          <w:p>
            <w:r>
              <w:t xml:space="preserve">2021-11-10</w:t>
            </w:r>
          </w:p>
        </w:tc>
        <w:tc>
          <w:tcPr>
            <w:tcW w:type="dxa" w:w="1500"/>
          </w:tcPr>
          <w:p>
            <w:r>
              <w:t xml:space="preserve">352</w:t>
            </w:r>
          </w:p>
        </w:tc>
        <w:tc>
          <w:tcPr>
            <w:tcW w:type="dxa" w:w="1500"/>
          </w:tcPr>
          <w:p>
            <w:r>
              <w:t xml:space="preserve">2</w:t>
            </w:r>
          </w:p>
        </w:tc>
        <w:tc>
          <w:tcPr>
            <w:tcW w:type="dxa" w:w="1500"/>
          </w:tcPr>
          <w:p>
            <w:r>
              <w:t xml:space="preserve">11,749</w:t>
            </w:r>
          </w:p>
        </w:tc>
        <w:tc>
          <w:tcPr>
            <w:tcW w:type="dxa" w:w="1500"/>
          </w:tcPr>
          <w:p>
            <w:r>
              <w:t xml:space="preserve">131</w:t>
            </w:r>
          </w:p>
        </w:tc>
      </w:tr>
      <w:tr>
        <w:tc>
          <w:tcPr>
            <w:tcW w:type="dxa" w:w="1500"/>
          </w:tcPr>
          <w:p>
            <w:r>
              <w:t xml:space="preserve">6</w:t>
            </w:r>
          </w:p>
        </w:tc>
        <w:tc>
          <w:tcPr>
            <w:tcW w:type="dxa" w:w="1500"/>
          </w:tcPr>
          <w:p>
            <w:r>
              <w:t xml:space="preserve">2021-11-17</w:t>
            </w:r>
          </w:p>
        </w:tc>
        <w:tc>
          <w:tcPr>
            <w:tcW w:type="dxa" w:w="1500"/>
          </w:tcPr>
          <w:p>
            <w:r>
              <w:t xml:space="preserve">432</w:t>
            </w:r>
          </w:p>
        </w:tc>
        <w:tc>
          <w:tcPr>
            <w:tcW w:type="dxa" w:w="1500"/>
          </w:tcPr>
          <w:p>
            <w:r>
              <w:t xml:space="preserve">1</w:t>
            </w:r>
          </w:p>
        </w:tc>
        <w:tc>
          <w:tcPr>
            <w:tcW w:type="dxa" w:w="1500"/>
          </w:tcPr>
          <w:p>
            <w:r>
              <w:t xml:space="preserve">12,181</w:t>
            </w:r>
          </w:p>
        </w:tc>
        <w:tc>
          <w:tcPr>
            <w:tcW w:type="dxa" w:w="1500"/>
          </w:tcPr>
          <w:p>
            <w:r>
              <w:t xml:space="preserve">132</w:t>
            </w:r>
          </w:p>
        </w:tc>
      </w:tr>
      <w:tr>
        <w:tc>
          <w:tcPr>
            <w:tcW w:type="dxa" w:w="1500"/>
          </w:tcPr>
          <w:p>
            <w:r>
              <w:t xml:space="preserve">7</w:t>
            </w:r>
          </w:p>
        </w:tc>
        <w:tc>
          <w:tcPr>
            <w:tcW w:type="dxa" w:w="1500"/>
          </w:tcPr>
          <w:p>
            <w:r>
              <w:t xml:space="preserve">2021-11-24</w:t>
            </w:r>
          </w:p>
        </w:tc>
        <w:tc>
          <w:tcPr>
            <w:tcW w:type="dxa" w:w="1500"/>
          </w:tcPr>
          <w:p>
            <w:r>
              <w:t xml:space="preserve">456</w:t>
            </w:r>
          </w:p>
        </w:tc>
        <w:tc>
          <w:tcPr>
            <w:tcW w:type="dxa" w:w="1500"/>
          </w:tcPr>
          <w:p>
            <w:r>
              <w:t xml:space="preserve">2</w:t>
            </w:r>
          </w:p>
        </w:tc>
        <w:tc>
          <w:tcPr>
            <w:tcW w:type="dxa" w:w="1500"/>
          </w:tcPr>
          <w:p>
            <w:r>
              <w:t xml:space="preserve">12,637</w:t>
            </w:r>
          </w:p>
        </w:tc>
        <w:tc>
          <w:tcPr>
            <w:tcW w:type="dxa" w:w="1500"/>
          </w:tcPr>
          <w:p>
            <w:r>
              <w:t xml:space="preserve">134</w:t>
            </w:r>
          </w:p>
        </w:tc>
      </w:tr>
      <w:tr>
        <w:tc>
          <w:tcPr>
            <w:tcW w:type="dxa" w:w="1500"/>
          </w:tcPr>
          <w:p>
            <w:r>
              <w:t xml:space="preserve">8</w:t>
            </w:r>
          </w:p>
        </w:tc>
        <w:tc>
          <w:tcPr>
            <w:tcW w:type="dxa" w:w="1500"/>
          </w:tcPr>
          <w:p>
            <w:r>
              <w:t xml:space="preserve">2021-12-01</w:t>
            </w:r>
          </w:p>
        </w:tc>
        <w:tc>
          <w:tcPr>
            <w:tcW w:type="dxa" w:w="1500"/>
          </w:tcPr>
          <w:p>
            <w:r>
              <w:t xml:space="preserve">364</w:t>
            </w:r>
          </w:p>
        </w:tc>
        <w:tc>
          <w:tcPr>
            <w:tcW w:type="dxa" w:w="1500"/>
          </w:tcPr>
          <w:p>
            <w:r>
              <w:t xml:space="preserve">0</w:t>
            </w:r>
          </w:p>
        </w:tc>
        <w:tc>
          <w:tcPr>
            <w:tcW w:type="dxa" w:w="1500"/>
          </w:tcPr>
          <w:p>
            <w:r>
              <w:t xml:space="preserve">13,001</w:t>
            </w:r>
          </w:p>
        </w:tc>
        <w:tc>
          <w:tcPr>
            <w:tcW w:type="dxa" w:w="1500"/>
          </w:tcPr>
          <w:p>
            <w:r>
              <w:t xml:space="preserve">134</w:t>
            </w:r>
          </w:p>
        </w:tc>
      </w:tr>
      <w:tr>
        <w:tc>
          <w:tcPr>
            <w:tcW w:type="dxa" w:w="1500"/>
          </w:tcPr>
          <w:p>
            <w:r>
              <w:t xml:space="preserve">9</w:t>
            </w:r>
          </w:p>
        </w:tc>
        <w:tc>
          <w:tcPr>
            <w:tcW w:type="dxa" w:w="1500"/>
          </w:tcPr>
          <w:p>
            <w:r>
              <w:t xml:space="preserve">2021-12-08</w:t>
            </w:r>
          </w:p>
        </w:tc>
        <w:tc>
          <w:tcPr>
            <w:tcW w:type="dxa" w:w="1500"/>
          </w:tcPr>
          <w:p>
            <w:r>
              <w:t xml:space="preserve">556</w:t>
            </w:r>
          </w:p>
        </w:tc>
        <w:tc>
          <w:tcPr>
            <w:tcW w:type="dxa" w:w="1500"/>
          </w:tcPr>
          <w:p>
            <w:r>
              <w:t xml:space="preserve">1</w:t>
            </w:r>
          </w:p>
        </w:tc>
        <w:tc>
          <w:tcPr>
            <w:tcW w:type="dxa" w:w="1500"/>
          </w:tcPr>
          <w:p>
            <w:r>
              <w:t xml:space="preserve">13,557</w:t>
            </w:r>
          </w:p>
        </w:tc>
        <w:tc>
          <w:tcPr>
            <w:tcW w:type="dxa" w:w="1500"/>
          </w:tcPr>
          <w:p>
            <w:r>
              <w:t xml:space="preserve">135</w:t>
            </w:r>
          </w:p>
        </w:tc>
      </w:tr>
      <w:tr>
        <w:tc>
          <w:tcPr>
            <w:tcW w:type="dxa" w:w="1500"/>
          </w:tcPr>
          <w:p>
            <w:r>
              <w:t xml:space="preserve">10</w:t>
            </w:r>
          </w:p>
        </w:tc>
        <w:tc>
          <w:tcPr>
            <w:tcW w:type="dxa" w:w="1500"/>
          </w:tcPr>
          <w:p>
            <w:r>
              <w:t xml:space="preserve">2021-12-15</w:t>
            </w:r>
          </w:p>
        </w:tc>
        <w:tc>
          <w:tcPr>
            <w:tcW w:type="dxa" w:w="1500"/>
          </w:tcPr>
          <w:p>
            <w:r>
              <w:t xml:space="preserve">465</w:t>
            </w:r>
          </w:p>
        </w:tc>
        <w:tc>
          <w:tcPr>
            <w:tcW w:type="dxa" w:w="1500"/>
          </w:tcPr>
          <w:p>
            <w:r>
              <w:t xml:space="preserve">1</w:t>
            </w:r>
          </w:p>
        </w:tc>
        <w:tc>
          <w:tcPr>
            <w:tcW w:type="dxa" w:w="1500"/>
          </w:tcPr>
          <w:p>
            <w:r>
              <w:t xml:space="preserve">14,022</w:t>
            </w:r>
          </w:p>
        </w:tc>
        <w:tc>
          <w:tcPr>
            <w:tcW w:type="dxa" w:w="1500"/>
          </w:tcPr>
          <w:p>
            <w:r>
              <w:t xml:space="preserve">136</w:t>
            </w:r>
          </w:p>
        </w:tc>
      </w:tr>
      <w:tr>
        <w:tc>
          <w:tcPr>
            <w:tcW w:type="dxa" w:w="1500"/>
          </w:tcPr>
          <w:p>
            <w:r>
              <w:t xml:space="preserve">11</w:t>
            </w:r>
          </w:p>
        </w:tc>
        <w:tc>
          <w:tcPr>
            <w:tcW w:type="dxa" w:w="1500"/>
          </w:tcPr>
          <w:p>
            <w:r>
              <w:t xml:space="preserve">2021-12-22</w:t>
            </w:r>
          </w:p>
        </w:tc>
        <w:tc>
          <w:tcPr>
            <w:tcW w:type="dxa" w:w="1500"/>
          </w:tcPr>
          <w:p>
            <w:r>
              <w:t xml:space="preserve">631</w:t>
            </w:r>
          </w:p>
        </w:tc>
        <w:tc>
          <w:tcPr>
            <w:tcW w:type="dxa" w:w="1500"/>
          </w:tcPr>
          <w:p>
            <w:r>
              <w:t xml:space="preserve">4</w:t>
            </w:r>
          </w:p>
        </w:tc>
        <w:tc>
          <w:tcPr>
            <w:tcW w:type="dxa" w:w="1500"/>
          </w:tcPr>
          <w:p>
            <w:r>
              <w:t xml:space="preserve">14,653</w:t>
            </w:r>
          </w:p>
        </w:tc>
        <w:tc>
          <w:tcPr>
            <w:tcW w:type="dxa" w:w="1500"/>
          </w:tcPr>
          <w:p>
            <w:r>
              <w:t xml:space="preserve">140</w:t>
            </w:r>
          </w:p>
        </w:tc>
      </w:tr>
    </w:tbl>
    <w:p/>
    <w:p>
      <w:r>
        <w:rPr>
          <w:b/>
          <w:bCs/>
        </w:rPr>
        <w:t xml:space="preserve">Fitted model of record.</w:t>
      </w:r>
      <w:r>
        <w:t xml:space="preserve"> The same epidemiologist fitted a cubic to the </w:t>
      </w:r>
      <w:r>
        <w:rPr>
          <w:b/>
          <w:bCs/>
        </w:rPr>
        <w:t xml:space="preserve">New cases</w:t>
      </w:r>
      <w:r>
        <w:t xml:space="preserve"> column above by the same method, </w:t>
      </w:r>
      <w:r>
        <w:rPr>
          <w:rFonts w:ascii="Courier New" w:cs="Courier New" w:eastAsia="Courier New" w:hAnsi="Courier New"/>
        </w:rPr>
        <w:t xml:space="preserve">t</w:t>
      </w:r>
      <w:r>
        <w:t xml:space="preserve"> in weeks from the first row of this table, coefficients rounded to four decimal places [S8]:</w:t>
      </w:r>
    </w:p>
    <w:p>
      <w:pPr>
        <w:shd w:fill="F0F0F0" w:val="clear"/>
      </w:pPr>
      <w:r>
        <w:rPr>
          <w:rFonts w:ascii="Courier New" w:cs="Courier New" w:eastAsia="Courier New" w:hAnsi="Courier New"/>
        </w:rPr>
        <w:t xml:space="preserve">D(t) = 0.2174 t^3 - 1.8006 t^2 + 25.3255 t + 247.9597</w:t>
      </w:r>
    </w:p>
    <w:p>
      <w:r>
        <w:rPr>
          <w:b/>
          <w:bCs/>
        </w:rPr>
        <w:t xml:space="preserve">Instructional weeks.</w:t>
      </w:r>
      <w:r>
        <w:t xml:space="preserve"> Every week in the board's horizon is counted as five instructional days, and the closure budget is spent as whole weeks — see APPENDIX F, MA5, which also names the district -calendar caveat that goes with that simplification.</w:t>
      </w:r>
    </w:p>
    <w:p>
      <w:pPr>
        <w:pStyle w:val="Heading2"/>
        <w:spacing w:after="120" w:before="240"/>
      </w:pPr>
      <w:r>
        <w:t xml:space="preserve">Appendix C — The Board's Standing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Rule</w:t>
            </w:r>
          </w:p>
        </w:tc>
        <w:tc>
          <w:tcPr>
            <w:tcW w:type="dxa" w:w="4500"/>
            <w:shd w:fill="DDDDDD" w:val="clear"/>
          </w:tcPr>
          <w:p>
            <w:r>
              <w:t xml:space="preserve">Value</w:t>
            </w:r>
          </w:p>
        </w:tc>
      </w:tr>
      <w:tr>
        <w:tc>
          <w:tcPr>
            <w:tcW w:type="dxa" w:w="4500"/>
          </w:tcPr>
          <w:p>
            <w:r>
              <w:t xml:space="preserve">Population denominator used for every case rate in this case</w:t>
            </w:r>
          </w:p>
        </w:tc>
        <w:tc>
          <w:tcPr>
            <w:tcW w:type="dxa" w:w="4500"/>
          </w:tcPr>
          <w:p>
            <w:r>
              <w:rPr>
                <w:b/>
                <w:bCs/>
              </w:rPr>
              <w:t xml:space="preserve">163,774</w:t>
            </w:r>
            <w:r>
              <w:t xml:space="preserve"> residents of Chittenden County, Vermont [S2] — CDC publishes this as the 2019 Census estimate and uses it as the denominator for its own county case rates [S3]</w:t>
            </w:r>
          </w:p>
        </w:tc>
      </w:tr>
      <w:tr>
        <w:tc>
          <w:tcPr>
            <w:tcW w:type="dxa" w:w="4500"/>
          </w:tcPr>
          <w:p>
            <w:r>
              <w:t xml:space="preserve">Reference case-rate tiers a health officer would recognise</w:t>
            </w:r>
          </w:p>
        </w:tc>
        <w:tc>
          <w:tcPr>
            <w:tcW w:type="dxa" w:w="4500"/>
          </w:tcPr>
          <w:p>
            <w:r>
              <w:t xml:space="preserve">CDC's community transmission levels, in total new cases per 100,000 population in the past 7 days: </w:t>
            </w:r>
            <w:r>
              <w:rPr>
                <w:b/>
                <w:bCs/>
              </w:rPr>
              <w:t xml:space="preserve">low</w:t>
            </w:r>
            <w:r>
              <w:t xml:space="preserve"> fewer than 10 · </w:t>
            </w:r>
            <w:r>
              <w:rPr>
                <w:b/>
                <w:bCs/>
              </w:rPr>
              <w:t xml:space="preserve">moderate</w:t>
            </w:r>
            <w:r>
              <w:t xml:space="preserve"> 10–49 · </w:t>
            </w:r>
            <w:r>
              <w:rPr>
                <w:b/>
                <w:bCs/>
              </w:rPr>
              <w:t xml:space="preserve">substantial</w:t>
            </w:r>
            <w:r>
              <w:t xml:space="preserve"> 50–99 · </w:t>
            </w:r>
            <w:r>
              <w:rPr>
                <w:b/>
                <w:bCs/>
              </w:rPr>
              <w:t xml:space="preserve">high</w:t>
            </w:r>
            <w:r>
              <w:t xml:space="preserve"> 100 or more [S4]</w:t>
            </w:r>
          </w:p>
        </w:tc>
      </w:tr>
      <w:tr>
        <w:tc>
          <w:tcPr>
            <w:tcW w:type="dxa" w:w="4500"/>
          </w:tcPr>
          <w:p>
            <w:r>
              <w:t xml:space="preserve">Board's own written closure level (the Tripwire)</w:t>
            </w:r>
          </w:p>
        </w:tc>
        <w:tc>
          <w:tcPr>
            <w:tcW w:type="dxa" w:w="4500"/>
          </w:tcPr>
          <w:p>
            <w:r>
              <w:rPr>
                <w:b/>
                <w:bCs/>
              </w:rPr>
              <w:t xml:space="preserve">500</w:t>
            </w:r>
            <w:r>
              <w:t xml:space="preserve"> reported cases per 100,000 per week — see APPENDIX F, MA2</w:t>
            </w:r>
          </w:p>
        </w:tc>
      </w:tr>
      <w:tr>
        <w:tc>
          <w:tcPr>
            <w:tcW w:type="dxa" w:w="4500"/>
          </w:tcPr>
          <w:p>
            <w:r>
              <w:t xml:space="preserve">Closure budget (length of the one authorised closure)</w:t>
            </w:r>
          </w:p>
        </w:tc>
        <w:tc>
          <w:tcPr>
            <w:tcW w:type="dxa" w:w="4500"/>
          </w:tcPr>
          <w:p>
            <w:r>
              <w:rPr>
                <w:b/>
                <w:bCs/>
              </w:rPr>
              <w:t xml:space="preserve">two weeks</w:t>
            </w:r>
            <w:r>
              <w:t xml:space="preserve">, once per term — see APPENDIX F, MA3</w:t>
            </w:r>
          </w:p>
        </w:tc>
      </w:tr>
      <w:tr>
        <w:tc>
          <w:tcPr>
            <w:tcW w:type="dxa" w:w="4500"/>
          </w:tcPr>
          <w:p>
            <w:r>
              <w:t xml:space="preserve">Evaluation horizon</w:t>
            </w:r>
          </w:p>
        </w:tc>
        <w:tc>
          <w:tcPr>
            <w:tcW w:type="dxa" w:w="4500"/>
          </w:tcPr>
          <w:p>
            <w:r>
              <w:t xml:space="preserve">the </w:t>
            </w:r>
            <w:r>
              <w:rPr>
                <w:b/>
                <w:bCs/>
              </w:rPr>
              <w:t xml:space="preserve">six</w:t>
            </w:r>
            <w:r>
              <w:t xml:space="preserve"> weeks after the decision week, </w:t>
            </w:r>
            <w:r>
              <w:rPr>
                <w:rFonts w:ascii="Courier New" w:cs="Courier New" w:eastAsia="Courier New" w:hAnsi="Courier New"/>
              </w:rPr>
              <w:t xml:space="preserve">t = 12</w:t>
            </w:r>
            <w:r>
              <w:t xml:space="preserve"> through </w:t>
            </w:r>
            <w:r>
              <w:rPr>
                <w:rFonts w:ascii="Courier New" w:cs="Courier New" w:eastAsia="Courier New" w:hAnsi="Courier New"/>
              </w:rPr>
              <w:t xml:space="preserve">t = 17</w:t>
            </w:r>
            <w:r>
              <w:t xml:space="preserve"> on Appendix B's clock — see APPENDIX F, MA4</w:t>
            </w:r>
          </w:p>
        </w:tc>
      </w:tr>
    </w:tbl>
    <w:p/>
    <w:p>
      <w:r>
        <w:t xml:space="preserve">Read the tier scale above against the county's own numbers before you use it. Every single week in Appendix A's late rows and every week in Appendix B sits above the top of that four-level national scale, which is why the board had to write a level of its own rather than borrow one.</w:t>
      </w:r>
    </w:p>
    <w:p>
      <w:pPr>
        <w:pStyle w:val="Heading2"/>
        <w:spacing w:after="120" w:before="240"/>
      </w:pPr>
      <w:r>
        <w:t xml:space="preserve">Appendix D — The Prevention Model and the Metric</w:t>
      </w:r>
    </w:p>
    <w:p>
      <w:r>
        <w:t xml:space="preserve">Every quantity below is either cited in APPENDIX E or stated in APPENDIX F. Nothing else enters the arithmetic, and no step is hidden: a Hero can reproduce the whole decision table from this appendix, Appendix B and Appendix C in one pass.</w:t>
      </w:r>
    </w:p>
    <w:p>
      <w:r>
        <w:rPr>
          <w:b/>
          <w:bCs/>
        </w:rPr>
        <w:t xml:space="preserve">Step 1 — case rate.</w:t>
      </w:r>
      <w:r>
        <w:t xml:space="preserve"> For any week </w:t>
      </w:r>
      <w:r>
        <w:rPr>
          <w:rFonts w:ascii="Courier New" w:cs="Courier New" w:eastAsia="Courier New" w:hAnsi="Courier New"/>
        </w:rPr>
        <w:t xml:space="preserve">t</w:t>
      </w:r>
      <w:r>
        <w:t xml:space="preserve"> in the horizon, the reported weekly case rate per 100,000 is </w:t>
      </w:r>
      <w:r>
        <w:rPr>
          <w:rFonts w:ascii="Courier New" w:cs="Courier New" w:eastAsia="Courier New" w:hAnsi="Courier New"/>
        </w:rPr>
        <w:t xml:space="preserve">R(t) = D(t) / POP × 100,000</w:t>
      </w:r>
      <w:r>
        <w:t xml:space="preserve">, where </w:t>
      </w:r>
      <w:r>
        <w:rPr>
          <w:rFonts w:ascii="Courier New" w:cs="Courier New" w:eastAsia="Courier New" w:hAnsi="Courier New"/>
        </w:rPr>
        <w:t xml:space="preserve">D(t)</w:t>
      </w:r>
      <w:r>
        <w:t xml:space="preserve"> is the current-wave model of record (Appendix B) and </w:t>
      </w:r>
      <w:r>
        <w:rPr>
          <w:rFonts w:ascii="Courier New" w:cs="Courier New" w:eastAsia="Courier New" w:hAnsi="Courier New"/>
        </w:rPr>
        <w:t xml:space="preserve">POP</w:t>
      </w:r>
      <w:r>
        <w:t xml:space="preserve"> is the population denominator (Appendix C).</w:t>
      </w:r>
    </w:p>
    <w:p>
      <w:r>
        <w:rPr>
          <w:b/>
          <w:bCs/>
        </w:rPr>
        <w:t xml:space="preserve">Step 2 — the growth rate the district plans on.</w:t>
      </w:r>
      <w:r>
        <w:t xml:space="preserve"> </w:t>
      </w:r>
      <w:r>
        <w:rPr>
          <w:rFonts w:ascii="Courier New" w:cs="Courier New" w:eastAsia="Courier New" w:hAnsi="Courier New"/>
        </w:rPr>
        <w:t xml:space="preserve">g = D'(t_dec) / D(t_dec)</w:t>
      </w:r>
      <w:r>
        <w:t xml:space="preserve">, the model's own relative rate of change at the decision week </w:t>
      </w:r>
      <w:r>
        <w:rPr>
          <w:rFonts w:ascii="Courier New" w:cs="Courier New" w:eastAsia="Courier New" w:hAnsi="Courier New"/>
        </w:rPr>
        <w:t xml:space="preserve">t_dec = 11</w:t>
      </w:r>
      <w:r>
        <w:t xml:space="preserve">. This is a derived number, not a stated one: a Hero computes it from the derivative found in D1.</w:t>
      </w:r>
    </w:p>
    <w:p>
      <w:r>
        <w:rPr>
          <w:b/>
          <w:bCs/>
        </w:rPr>
        <w:t xml:space="preserve">Step 3 — the chain multiplier.</w:t>
      </w:r>
      <w:r>
        <w:t xml:space="preserve"> A transmission prevented in week </w:t>
      </w:r>
      <w:r>
        <w:rPr>
          <w:rFonts w:ascii="Courier New" w:cs="Courier New" w:eastAsia="Courier New" w:hAnsi="Courier New"/>
        </w:rPr>
        <w:t xml:space="preserve">t</w:t>
      </w:r>
      <w:r>
        <w:t xml:space="preserve"> also prevents the transmissions it would have gone on to cause before the horizon closes. The board's rule credits that chain as a finite geometric series at the planning growth rate:</w:t>
      </w:r>
    </w:p>
    <w:p>
      <w:pPr>
        <w:shd w:fill="F0F0F0" w:val="clear"/>
      </w:pPr>
      <w:r>
        <w:rPr>
          <w:rFonts w:ascii="Courier New" w:cs="Courier New" w:eastAsia="Courier New" w:hAnsi="Courier New"/>
        </w:rPr>
        <w:t xml:space="preserve">w(t) = ( (1 + g)^(H - t + 1) - 1 ) / g</w:t>
      </w:r>
    </w:p>
    <w:p>
      <w:r>
        <w:t xml:space="preserve">where </w:t>
      </w:r>
      <w:r>
        <w:rPr>
          <w:rFonts w:ascii="Courier New" w:cs="Courier New" w:eastAsia="Courier New" w:hAnsi="Courier New"/>
        </w:rPr>
        <w:t xml:space="preserve">H</w:t>
      </w:r>
      <w:r>
        <w:t xml:space="preserve"> is the last week of the horizon. </w:t>
      </w:r>
      <w:r>
        <w:rPr>
          <w:rFonts w:ascii="Courier New" w:cs="Courier New" w:eastAsia="Courier New" w:hAnsi="Courier New"/>
        </w:rPr>
        <w:t xml:space="preserve">w(H) = 1</w:t>
      </w:r>
      <w:r>
        <w:t xml:space="preserve"> — a transmission prevented in the last week prevents only itself.</w:t>
      </w:r>
    </w:p>
    <w:p>
      <w:r>
        <w:rPr>
          <w:b/>
          <w:bCs/>
        </w:rPr>
        <w:t xml:space="preserve">Step 4 — chain-weighted in-school transmissions.</w:t>
      </w:r>
      <w:r>
        <w:t xml:space="preserve"> For each week </w:t>
      </w:r>
      <w:r>
        <w:rPr>
          <w:rFonts w:ascii="Courier New" w:cs="Courier New" w:eastAsia="Courier New" w:hAnsi="Courier New"/>
        </w:rPr>
        <w:t xml:space="preserve">t</w:t>
      </w:r>
      <w:r>
        <w:t xml:space="preserve"> in the horizon,</w:t>
      </w:r>
    </w:p>
    <w:p>
      <w:pPr>
        <w:shd w:fill="F0F0F0" w:val="clear"/>
      </w:pPr>
      <w:r>
        <w:rPr>
          <w:rFonts w:ascii="Courier New" w:cs="Courier New" w:eastAsia="Courier New" w:hAnsi="Courier New"/>
        </w:rPr>
        <w:t xml:space="preserve">X(t) = k × R(t) / 100 × w(t)</w:t>
      </w:r>
    </w:p>
    <w:p>
      <w:r>
        <w:t xml:space="preserve">in chain-weighted transmissions per one thousand students, where </w:t>
      </w:r>
      <w:r>
        <w:rPr>
          <w:rFonts w:ascii="Courier New" w:cs="Courier New" w:eastAsia="Courier New" w:hAnsi="Courier New"/>
        </w:rPr>
        <w:t xml:space="preserve">k</w:t>
      </w:r>
      <w:r>
        <w:t xml:space="preserve"> is the in-school transmission coefficient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Input</w:t>
            </w:r>
          </w:p>
        </w:tc>
        <w:tc>
          <w:tcPr>
            <w:tcW w:type="dxa" w:w="4500"/>
            <w:shd w:fill="DDDDDD" w:val="clear"/>
          </w:tcPr>
          <w:p>
            <w:r>
              <w:t xml:space="preserve">Value</w:t>
            </w:r>
          </w:p>
        </w:tc>
      </w:tr>
      <w:tr>
        <w:tc>
          <w:tcPr>
            <w:tcW w:type="dxa" w:w="4500"/>
          </w:tcPr>
          <w:p>
            <w:r>
              <w:t xml:space="preserve">In-school transmission coefficient </w:t>
            </w:r>
            <w:r>
              <w:rPr>
                <w:rFonts w:ascii="Courier New" w:cs="Courier New" w:eastAsia="Courier New" w:hAnsi="Courier New"/>
              </w:rPr>
              <w:t xml:space="preserve">k</w:t>
            </w:r>
          </w:p>
        </w:tc>
        <w:tc>
          <w:tcPr>
            <w:tcW w:type="dxa" w:w="4500"/>
          </w:tcPr>
          <w:p>
            <w:r>
              <w:rPr>
                <w:b/>
                <w:bCs/>
              </w:rPr>
              <w:t xml:space="preserve">0.5</w:t>
            </w:r>
            <w:r>
              <w:t xml:space="preserve"> in-school transmissions per 1,000 students in one open week when the community reported rate is 100 per 100,000 that week — see APPENDIX F, MA6, which reasons this down from the real school secondary attack rates in [S6]</w:t>
            </w:r>
          </w:p>
        </w:tc>
      </w:tr>
      <w:tr>
        <w:tc>
          <w:tcPr>
            <w:tcW w:type="dxa" w:w="4500"/>
          </w:tcPr>
          <w:p>
            <w:r>
              <w:t xml:space="preserve">Rapid antigen test performance in asymptomatic screening</w:t>
            </w:r>
          </w:p>
        </w:tc>
        <w:tc>
          <w:tcPr>
            <w:tcW w:type="dxa" w:w="4500"/>
          </w:tcPr>
          <w:p>
            <w:r>
              <w:t xml:space="preserve">average sensitivity </w:t>
            </w:r>
            <w:r>
              <w:rPr>
                <w:b/>
                <w:bCs/>
              </w:rPr>
              <w:t xml:space="preserve">55.0%</w:t>
            </w:r>
            <w:r>
              <w:t xml:space="preserve"> (95% CI 50.9%–59.0%) against RT-PCR in asymptomatic people, average specificity 99.5% [S5]</w:t>
            </w:r>
          </w:p>
        </w:tc>
      </w:tr>
      <w:tr>
        <w:tc>
          <w:tcPr>
            <w:tcW w:type="dxa" w:w="4500"/>
          </w:tcPr>
          <w:p>
            <w:r>
              <w:t xml:space="preserve">Programme effectiveness </w:t>
            </w:r>
            <w:r>
              <w:rPr>
                <w:rFonts w:ascii="Courier New" w:cs="Courier New" w:eastAsia="Courier New" w:hAnsi="Courier New"/>
              </w:rPr>
              <w:t xml:space="preserve">e</w:t>
            </w:r>
            <w:r>
              <w:t xml:space="preserve"> of twice-weekly on-site testing</w:t>
            </w:r>
          </w:p>
        </w:tc>
        <w:tc>
          <w:tcPr>
            <w:tcW w:type="dxa" w:w="4500"/>
          </w:tcPr>
          <w:p>
            <w:r>
              <w:rPr>
                <w:b/>
                <w:bCs/>
              </w:rPr>
              <w:t xml:space="preserve">0.10</w:t>
            </w:r>
            <w:r>
              <w:t xml:space="preserve"> — the share of in-school transmission the screening programme removes in an open week; see APPENDIX F, MA7, which builds it down from [S5]</w:t>
            </w:r>
          </w:p>
        </w:tc>
      </w:tr>
    </w:tbl>
    <w:p/>
    <w:p>
      <w:r>
        <w:rPr>
          <w:b/>
          <w:bCs/>
        </w:rPr>
        <w:t xml:space="preserve">Step 5 — the two plans.</w:t>
      </w:r>
    </w:p>
    <w:p>
      <w:pPr>
        <w:shd w:fill="F0F0F0" w:val="clear"/>
      </w:pPr>
      <w:r>
        <w:rPr>
          <w:rFonts w:ascii="Courier New" w:cs="Courier New" w:eastAsia="Courier New" w:hAnsi="Courier New"/>
        </w:rPr>
        <w:t xml:space="preserve">Total       = sum of X(t) over every week t in the horizon        (no action at all)
Early Brake = Total - [ X(t0) + X(t0+1) ]                          t0 = first week of the horizon
Tripwire    = Total - [ X(tB) + X(tB+1) + e × sum of X(t) over every horizon week outside the closure ]
              where tB is the first horizon week with R(t) &gt;= the board's written level</w:t>
      </w:r>
    </w:p>
    <w:p>
      <w:r>
        <w:rPr>
          <w:b/>
          <w:bCs/>
        </w:rPr>
        <w:t xml:space="preserve">The primary metric is the number each plan leaves behind</w:t>
      </w:r>
      <w:r>
        <w:t xml:space="preserve"> — chain-weighted in-school transmissions per one thousand students over the horizon. Lower is better. Both plans spend the same closure budget, so the metric compares what the budget buys, not what it costs.</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Weekly reported COVID-19 cases and deaths, Chittenden County, Vermont, weeks ending 2021-06-02 to 2021-12-22</w:t>
            </w:r>
          </w:p>
        </w:tc>
        <w:tc>
          <w:tcPr>
            <w:tcW w:type="dxa" w:w="1500"/>
          </w:tcPr>
          <w:p>
            <w:r>
              <w:t xml:space="preserve">the New cases / New deaths / Cumulative columns reproduced in Appendices A and B</w:t>
            </w:r>
          </w:p>
        </w:tc>
        <w:tc>
          <w:tcPr>
            <w:tcW w:type="dxa" w:w="1500"/>
          </w:tcPr>
          <w:p>
            <w:r>
              <w:t xml:space="preserve">CDC COVID-19 Response, "Weekly United States COVID-19 Cases and Deaths by County - ARCHIVED", dataset </w:t>
            </w:r>
            <w:r>
              <w:rPr>
                <w:rFonts w:ascii="Courier New" w:cs="Courier New" w:eastAsia="Courier New" w:hAnsi="Courier New"/>
              </w:rPr>
              <w:t xml:space="preserve">yviw-z6j5</w:t>
            </w:r>
            <w:r>
              <w:t xml:space="preserve"> (</w:t>
            </w:r>
            <w:hyperlink w:history="1" r:id="rIdwyvwbbgh7zhapunajl9av">
              <w:r>
                <w:rPr>
                  <w:rStyle w:val="Hyperlink"/>
                </w:rPr>
                <w:t xml:space="preserve">link</w:t>
              </w:r>
            </w:hyperlink>
            <w:r>
              <w:t xml:space="preserve">)</w:t>
            </w:r>
          </w:p>
        </w:tc>
        <w:tc>
          <w:tcPr>
            <w:tcW w:type="dxa" w:w="1500"/>
          </w:tcPr>
          <w:p>
            <w:r>
              <w:t xml:space="preserve">2026-08-12</w:t>
            </w:r>
          </w:p>
        </w:tc>
        <w:tc>
          <w:tcPr>
            <w:tcW w:type="dxa" w:w="1500"/>
          </w:tcPr>
          <w:p>
            <w:r>
              <w:t xml:space="preserve">HIGH — primary publisher; series frozen, reporting discontinued 2023-05-11</w:t>
            </w:r>
          </w:p>
        </w:tc>
      </w:tr>
      <w:tr>
        <w:tc>
          <w:tcPr>
            <w:tcW w:type="dxa" w:w="1500"/>
          </w:tcPr>
          <w:p>
            <w:r>
              <w:t xml:space="preserve">S2</w:t>
            </w:r>
          </w:p>
        </w:tc>
        <w:tc>
          <w:tcPr>
            <w:tcW w:type="dxa" w:w="1500"/>
          </w:tcPr>
          <w:p>
            <w:r>
              <w:t xml:space="preserve">Chittenden County, Vermont population denominator</w:t>
            </w:r>
          </w:p>
        </w:tc>
        <w:tc>
          <w:tcPr>
            <w:tcW w:type="dxa" w:w="1500"/>
          </w:tcPr>
          <w:p>
            <w:r>
              <w:t xml:space="preserve">163,774</w:t>
            </w:r>
          </w:p>
        </w:tc>
        <w:tc>
          <w:tcPr>
            <w:tcW w:type="dxa" w:w="1500"/>
          </w:tcPr>
          <w:p>
            <w:r>
              <w:t xml:space="preserve">CDC, "United States COVID-19 Community Levels by County", dataset </w:t>
            </w:r>
            <w:r>
              <w:rPr>
                <w:rFonts w:ascii="Courier New" w:cs="Courier New" w:eastAsia="Courier New" w:hAnsi="Courier New"/>
              </w:rPr>
              <w:t xml:space="preserve">3nnm-4jni</w:t>
            </w:r>
            <w:r>
              <w:t xml:space="preserve">, column </w:t>
            </w:r>
            <w:r>
              <w:rPr>
                <w:rFonts w:ascii="Courier New" w:cs="Courier New" w:eastAsia="Courier New" w:hAnsi="Courier New"/>
              </w:rPr>
              <w:t xml:space="preserve">county_population</w:t>
            </w:r>
            <w:r>
              <w:t xml:space="preserve"> (</w:t>
            </w:r>
            <w:hyperlink w:history="1" r:id="rIdxrsjzpxo6kydsvv9pqjjr">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Definition and vintage of that denominator</w:t>
            </w:r>
          </w:p>
        </w:tc>
        <w:tc>
          <w:tcPr>
            <w:tcW w:type="dxa" w:w="1500"/>
          </w:tcPr>
          <w:p>
            <w:r>
              <w:t xml:space="preserve">"County population (2019 Census estimate)"</w:t>
            </w:r>
          </w:p>
        </w:tc>
        <w:tc>
          <w:tcPr>
            <w:tcW w:type="dxa" w:w="1500"/>
          </w:tcPr>
          <w:p>
            <w:r>
              <w:t xml:space="preserve">CDC, dataset metadata for </w:t>
            </w:r>
            <w:r>
              <w:rPr>
                <w:rFonts w:ascii="Courier New" w:cs="Courier New" w:eastAsia="Courier New" w:hAnsi="Courier New"/>
              </w:rPr>
              <w:t xml:space="preserve">3nnm-4jni</w:t>
            </w:r>
            <w:r>
              <w:t xml:space="preserve"> (</w:t>
            </w:r>
            <w:hyperlink w:history="1" r:id="rIdrk9cudo4mdkvgcujmrci-">
              <w:r>
                <w:rPr>
                  <w:rStyle w:val="Hyperlink"/>
                </w:rPr>
                <w:t xml:space="preserve">link</w:t>
              </w:r>
            </w:hyperlink>
            <w:r>
              <w:t xml:space="preserve">)</w:t>
            </w:r>
          </w:p>
        </w:tc>
        <w:tc>
          <w:tcPr>
            <w:tcW w:type="dxa" w:w="1500"/>
          </w:tcPr>
          <w:p>
            <w:r>
              <w:t xml:space="preserve">2026-08-12</w:t>
            </w:r>
          </w:p>
        </w:tc>
        <w:tc>
          <w:tcPr>
            <w:tcW w:type="dxa" w:w="1500"/>
          </w:tcPr>
          <w:p>
            <w:r>
              <w:t xml:space="preserve">HIGH — CDC republishing a Census estimate, vintage stated on the column itself</w:t>
            </w:r>
          </w:p>
        </w:tc>
      </w:tr>
      <w:tr>
        <w:tc>
          <w:tcPr>
            <w:tcW w:type="dxa" w:w="1500"/>
          </w:tcPr>
          <w:p>
            <w:r>
              <w:t xml:space="preserve">S4</w:t>
            </w:r>
          </w:p>
        </w:tc>
        <w:tc>
          <w:tcPr>
            <w:tcW w:type="dxa" w:w="1500"/>
          </w:tcPr>
          <w:p>
            <w:r>
              <w:t xml:space="preserve">CDC community transmission levels, in total new cases per 100,000 in the past 7 days</w:t>
            </w:r>
          </w:p>
        </w:tc>
        <w:tc>
          <w:tcPr>
            <w:tcW w:type="dxa" w:w="1500"/>
          </w:tcPr>
          <w:p>
            <w:r>
              <w:t xml:space="preserve">low fewer than 10 · moderate 10–49 · substantial 50–99 · high 100 or more</w:t>
            </w:r>
          </w:p>
        </w:tc>
        <w:tc>
          <w:tcPr>
            <w:tcW w:type="dxa" w:w="1500"/>
          </w:tcPr>
          <w:p>
            <w:r>
              <w:t xml:space="preserve">CDC, dataset metadata for "United States COVID-19 County Level of Community Transmission Historical Changes - ARCHIVED", </w:t>
            </w:r>
            <w:r>
              <w:rPr>
                <w:rFonts w:ascii="Courier New" w:cs="Courier New" w:eastAsia="Courier New" w:hAnsi="Courier New"/>
              </w:rPr>
              <w:t xml:space="preserve">nra9-vzzn</w:t>
            </w:r>
            <w:r>
              <w:t xml:space="preserve"> (</w:t>
            </w:r>
            <w:hyperlink w:history="1" r:id="rId7ok8hk98i5szgqjpb6tcq">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S5</w:t>
            </w:r>
          </w:p>
        </w:tc>
        <w:tc>
          <w:tcPr>
            <w:tcW w:type="dxa" w:w="1500"/>
          </w:tcPr>
          <w:p>
            <w:r>
              <w:t xml:space="preserve">Rapid antigen test accuracy in people without symptoms</w:t>
            </w:r>
          </w:p>
        </w:tc>
        <w:tc>
          <w:tcPr>
            <w:tcW w:type="dxa" w:w="1500"/>
          </w:tcPr>
          <w:p>
            <w:r>
              <w:t xml:space="preserve">sensitivity 55.0% (95% CI 50.9%–59.0%); specificity 99.5% (95% CI 99.5%–99.6%)</w:t>
            </w:r>
          </w:p>
        </w:tc>
        <w:tc>
          <w:tcPr>
            <w:tcW w:type="dxa" w:w="1500"/>
          </w:tcPr>
          <w:p>
            <w:r>
              <w:t xml:space="preserve">Cochrane, Dinnes J, Berhane S, Walsh J et al., "Rapid, point-of-care antigen tests for diagnosis of SARS-CoV-2 infection", CD013705, 28 November 2025 (</w:t>
            </w:r>
            <w:hyperlink w:history="1" r:id="rIdd9nr6obr9whsmyps_uinm">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S6</w:t>
            </w:r>
          </w:p>
        </w:tc>
        <w:tc>
          <w:tcPr>
            <w:tcW w:type="dxa" w:w="1500"/>
          </w:tcPr>
          <w:p>
            <w:r>
              <w:t xml:space="preserve">Real school-associated secondary attack rates</w:t>
            </w:r>
          </w:p>
        </w:tc>
        <w:tc>
          <w:tcPr>
            <w:tcW w:type="dxa" w:w="1500"/>
          </w:tcPr>
          <w:p>
            <w:r>
              <w:t xml:space="preserve">0.38% and 6.46% (Italian primary / secondary schools) · 0.7% (Utah elementary) · 1.5% among 1,035 students (Lake County, Illinois) · 2% of school contacts (St. Louis)</w:t>
            </w:r>
          </w:p>
        </w:tc>
        <w:tc>
          <w:tcPr>
            <w:tcW w:type="dxa" w:w="1500"/>
          </w:tcPr>
          <w:p>
            <w:r>
              <w:t xml:space="preserve">CDC, "Science Brief: Transmission of SARS-CoV-2 in K-12 Schools and Early Care and Education Programs — Updated", last updated 17 December 2021 (</w:t>
            </w:r>
            <w:hyperlink w:history="1" r:id="rIdim6q5ysn6mlzlep4ip-z4">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S7</w:t>
            </w:r>
          </w:p>
        </w:tc>
        <w:tc>
          <w:tcPr>
            <w:tcW w:type="dxa" w:w="1500"/>
          </w:tcPr>
          <w:p>
            <w:r>
              <w:t xml:space="preserve">Previous-wave cubic P(t)</w:t>
            </w:r>
          </w:p>
        </w:tc>
        <w:tc>
          <w:tcPr>
            <w:tcW w:type="dxa" w:w="1500"/>
          </w:tcPr>
          <w:p>
            <w:r>
              <w:t xml:space="preserve">-0.3348, 8.9975, -42.0177, 38.2994</w:t>
            </w:r>
          </w:p>
        </w:tc>
        <w:tc>
          <w:tcPr>
            <w:tcW w:type="dxa" w:w="1500"/>
          </w:tcPr>
          <w:p>
            <w:r>
              <w:rPr>
                <w:b/>
                <w:bCs/>
              </w:rPr>
              <w:t xml:space="preserve">Derived</w:t>
            </w:r>
            <w:r>
              <w:t xml:space="preserve"> — ordinary least squares on Appendix A's New cases column, from S1 (</w:t>
            </w:r>
            <w:hyperlink w:history="1" r:id="rIdsajktywbbujlpzsp2lfzb">
              <w:r>
                <w:rPr>
                  <w:rStyle w:val="Hyperlink"/>
                </w:rPr>
                <w:t xml:space="preserve">link</w:t>
              </w:r>
            </w:hyperlink>
            <w:r>
              <w:t xml:space="preserve">)</w:t>
            </w:r>
          </w:p>
        </w:tc>
        <w:tc>
          <w:tcPr>
            <w:tcW w:type="dxa" w:w="1500"/>
          </w:tcPr>
          <w:p>
            <w:r>
              <w:t xml:space="preserve">2026-08-12</w:t>
            </w:r>
          </w:p>
        </w:tc>
        <w:tc>
          <w:tcPr>
            <w:tcW w:type="dxa" w:w="1500"/>
          </w:tcPr>
          <w:p>
            <w:r>
              <w:t xml:space="preserve">HIGH — reproducible from the cited series with any least-squares tool</w:t>
            </w:r>
          </w:p>
        </w:tc>
      </w:tr>
      <w:tr>
        <w:tc>
          <w:tcPr>
            <w:tcW w:type="dxa" w:w="1500"/>
          </w:tcPr>
          <w:p>
            <w:r>
              <w:t xml:space="preserve">S8</w:t>
            </w:r>
          </w:p>
        </w:tc>
        <w:tc>
          <w:tcPr>
            <w:tcW w:type="dxa" w:w="1500"/>
          </w:tcPr>
          <w:p>
            <w:r>
              <w:t xml:space="preserve">Current-wave cubic D(t)</w:t>
            </w:r>
          </w:p>
        </w:tc>
        <w:tc>
          <w:tcPr>
            <w:tcW w:type="dxa" w:w="1500"/>
          </w:tcPr>
          <w:p>
            <w:r>
              <w:t xml:space="preserve">0.2174, -1.8006, 25.3255, 247.9597</w:t>
            </w:r>
          </w:p>
        </w:tc>
        <w:tc>
          <w:tcPr>
            <w:tcW w:type="dxa" w:w="1500"/>
          </w:tcPr>
          <w:p>
            <w:r>
              <w:rPr>
                <w:b/>
                <w:bCs/>
              </w:rPr>
              <w:t xml:space="preserve">Derived</w:t>
            </w:r>
            <w:r>
              <w:t xml:space="preserve"> — ordinary least squares on Appendix B's New cases column, from S1 (</w:t>
            </w:r>
            <w:hyperlink w:history="1" r:id="rIdyqddqzzallyy2grvibbp1">
              <w:r>
                <w:rPr>
                  <w:rStyle w:val="Hyperlink"/>
                </w:rPr>
                <w:t xml:space="preserve">link</w:t>
              </w:r>
            </w:hyperlink>
            <w:r>
              <w:t xml:space="preserve">)</w:t>
            </w:r>
          </w:p>
        </w:tc>
        <w:tc>
          <w:tcPr>
            <w:tcW w:type="dxa" w:w="1500"/>
          </w:tcPr>
          <w:p>
            <w:r>
              <w:t xml:space="preserve">2026-08-12</w:t>
            </w:r>
          </w:p>
        </w:tc>
        <w:tc>
          <w:tcPr>
            <w:tcW w:type="dxa" w:w="1500"/>
          </w:tcPr>
          <w:p>
            <w:r>
              <w:t xml:space="preserve">HIGH — reproducible from the cited series with any least-squares tool</w:t>
            </w:r>
          </w:p>
        </w:tc>
      </w:tr>
    </w:tbl>
    <w:p/>
    <w:p>
      <w:r>
        <w:rPr>
          <w:b/>
          <w:bCs/>
        </w:rPr>
        <w:t xml:space="preserve">One widely repeated figure this case deliberately does not use.</w:t>
      </w:r>
      <w:r>
        <w:t xml:space="preserve"> "Schools drive community transmission" is asserted constantly in both directions and was not usable here: the CDC science brief [S6] states the opposite about sequencing — "Neither increases in case incidence among school-aged children nor school reopenings for in-person learning appear to pre-date increases in community transmission" — while the classroom attack rates in the same brief range from 0.38% to 6.46% depending on age band, variant and mitigation. A single number for "how much transmission happens in schools" does not exist, so this case does not print one. It states a coefficient in the open instead (MA6) and tells you what happens to the answer when it is wrong.</w:t>
      </w:r>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any of them in discussion — that is a legitimate move, and Appendix H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Birchmont Unified School District, Dr. Renata Vance, the board and its rules</w:t>
            </w:r>
          </w:p>
        </w:tc>
        <w:tc>
          <w:tcPr>
            <w:tcW w:type="dxa" w:w="1800"/>
          </w:tcPr>
          <w:p>
            <w:r>
              <w:t xml:space="preserve">invented</w:t>
            </w:r>
          </w:p>
        </w:tc>
        <w:tc>
          <w:tcPr>
            <w:tcW w:type="dxa" w:w="1800"/>
          </w:tcPr>
          <w:p>
            <w:r>
              <w:t xml:space="preserve">The county, the weekly series [S1] and the population denominator [S2] are real and cited. The district, the officer and the decision are not, and the case says so in Background rather than implying a real body made this call.</w:t>
            </w:r>
          </w:p>
        </w:tc>
        <w:tc>
          <w:tcPr>
            <w:tcW w:type="dxa" w:w="1800"/>
          </w:tcPr>
          <w:p>
            <w:r>
              <w:t xml:space="preserve">Not numeric. Governs how every other row should be read: real data, invented governance.</w:t>
            </w:r>
          </w:p>
        </w:tc>
      </w:tr>
      <w:tr>
        <w:tc>
          <w:tcPr>
            <w:tcW w:type="dxa" w:w="1800"/>
          </w:tcPr>
          <w:p>
            <w:r>
              <w:t xml:space="preserve">MA2</w:t>
            </w:r>
          </w:p>
        </w:tc>
        <w:tc>
          <w:tcPr>
            <w:tcW w:type="dxa" w:w="1800"/>
          </w:tcPr>
          <w:p>
            <w:r>
              <w:t xml:space="preserve">The board's own written closure level (the Tripwire's trigger)</w:t>
            </w:r>
          </w:p>
        </w:tc>
        <w:tc>
          <w:tcPr>
            <w:tcW w:type="dxa" w:w="1800"/>
          </w:tcPr>
          <w:p>
            <w:r>
              <w:rPr>
                <w:b/>
                <w:bCs/>
              </w:rPr>
              <w:t xml:space="preserve">500</w:t>
            </w:r>
            <w:r>
              <w:t xml:space="preserve"> reported cases per 100,000 per week</w:t>
            </w:r>
          </w:p>
        </w:tc>
        <w:tc>
          <w:tcPr>
            <w:tcW w:type="dxa" w:w="1800"/>
          </w:tcPr>
          <w:p>
            <w:r>
              <w:t xml:space="preserve">No public "Birchmont board threshold" exists. CDC's four-level national scale [S4] tops out at "100 or more", and Chittenden County sat above that top tier in every week of Appendix B — so a district needing an </w:t>
            </w:r>
            <w:r>
              <w:rPr>
                <w:i/>
                <w:iCs/>
              </w:rPr>
              <w:t xml:space="preserve">escalation</w:t>
            </w:r>
            <w:r>
              <w:t xml:space="preserve"> trigger has to set one above the top of the national scale. 500 is five times the CDC high-transmission floor, and sits between the two plans' computed closure weeks rather than on top of either.</w:t>
            </w:r>
          </w:p>
        </w:tc>
        <w:tc>
          <w:tcPr>
            <w:tcW w:type="dxa" w:w="1800"/>
          </w:tcPr>
          <w:p>
            <w:r>
              <w:rPr>
                <w:b/>
                <w:bCs/>
              </w:rPr>
              <w:t xml:space="preserve">The single most consequential number in the case, and deliberately not swept in the ±50% sensitivity run</w:t>
            </w:r>
            <w:r>
              <w:t xml:space="preserve"> — halving a plan's own written trigger produces a different Option B, not a sensitivity test. It is swept and disclosed anyway: at 250 the Tripwire fires the same week the Early Brake would, and the two plans then differ only by the screening removal rate; at 750 the model's forecast never reaches it inside the horizon and the Tripwire never fires at all. Recompute the metric at both levels and see what happens to your recommendation. Argue about this number; it is where the case actually lives.</w:t>
            </w:r>
          </w:p>
        </w:tc>
      </w:tr>
      <w:tr>
        <w:tc>
          <w:tcPr>
            <w:tcW w:type="dxa" w:w="1800"/>
          </w:tcPr>
          <w:p>
            <w:r>
              <w:t xml:space="preserve">MA3</w:t>
            </w:r>
          </w:p>
        </w:tc>
        <w:tc>
          <w:tcPr>
            <w:tcW w:type="dxa" w:w="1800"/>
          </w:tcPr>
          <w:p>
            <w:r>
              <w:t xml:space="preserve">Closure budget</w:t>
            </w:r>
          </w:p>
        </w:tc>
        <w:tc>
          <w:tcPr>
            <w:tcW w:type="dxa" w:w="1800"/>
          </w:tcPr>
          <w:p>
            <w:r>
              <w:rPr>
                <w:b/>
                <w:bCs/>
              </w:rPr>
              <w:t xml:space="preserve">two weeks</w:t>
            </w:r>
            <w:r>
              <w:t xml:space="preserve"> (ten instructional days), once per term</w:t>
            </w:r>
          </w:p>
        </w:tc>
        <w:tc>
          <w:tcPr>
            <w:tcW w:type="dxa" w:w="1800"/>
          </w:tcPr>
          <w:p>
            <w:r>
              <w:t xml:space="preserve">A real board constraint of this shape existed in many districts, but no public document fixes a number for a fictional district. Fixing it at two weeks makes the two plans cost the same, which is what lets the primary metric compare what the budget </w:t>
            </w:r>
            <w:r>
              <w:rPr>
                <w:i/>
                <w:iCs/>
              </w:rPr>
              <w:t xml:space="preserve">buys</w:t>
            </w:r>
            <w:r>
              <w:t xml:space="preserve"> rather than what it costs.</w:t>
            </w:r>
          </w:p>
        </w:tc>
        <w:tc>
          <w:tcPr>
            <w:tcW w:type="dxa" w:w="1800"/>
          </w:tcPr>
          <w:p>
            <w:r>
              <w:t xml:space="preserve">Not swept: three weeks or one week is a different board rule, not a different estimate. It cancels out of the comparison as long as both plans spend the same budget.</w:t>
            </w:r>
          </w:p>
        </w:tc>
      </w:tr>
      <w:tr>
        <w:tc>
          <w:tcPr>
            <w:tcW w:type="dxa" w:w="1800"/>
          </w:tcPr>
          <w:p>
            <w:r>
              <w:t xml:space="preserve">MA4</w:t>
            </w:r>
          </w:p>
        </w:tc>
        <w:tc>
          <w:tcPr>
            <w:tcW w:type="dxa" w:w="1800"/>
          </w:tcPr>
          <w:p>
            <w:r>
              <w:t xml:space="preserve">Evaluation horizon</w:t>
            </w:r>
          </w:p>
        </w:tc>
        <w:tc>
          <w:tcPr>
            <w:tcW w:type="dxa" w:w="1800"/>
          </w:tcPr>
          <w:p>
            <w:r>
              <w:t xml:space="preserve">the </w:t>
            </w:r>
            <w:r>
              <w:rPr>
                <w:b/>
                <w:bCs/>
              </w:rPr>
              <w:t xml:space="preserve">six</w:t>
            </w:r>
            <w:r>
              <w:t xml:space="preserve"> weeks after the decision week</w:t>
            </w:r>
          </w:p>
        </w:tc>
        <w:tc>
          <w:tcPr>
            <w:tcW w:type="dxa" w:w="1800"/>
          </w:tcPr>
          <w:p>
            <w:r>
              <w:t xml:space="preserve">Chosen to be long enough for the chain multiplier to differ meaningfully across the horizon and short enough that a board would actually score it.</w:t>
            </w:r>
          </w:p>
        </w:tc>
        <w:tc>
          <w:tcPr>
            <w:tcW w:type="dxa" w:w="1800"/>
          </w:tcPr>
          <w:p>
            <w:r>
              <w:t xml:space="preserve">Not swept, for the same reason as MA3. A longer horizon raises every chain multiplier and widens the gap between the plans; a shorter one narrows it.</w:t>
            </w:r>
          </w:p>
        </w:tc>
      </w:tr>
      <w:tr>
        <w:tc>
          <w:tcPr>
            <w:tcW w:type="dxa" w:w="1800"/>
          </w:tcPr>
          <w:p>
            <w:r>
              <w:t xml:space="preserve">MA5</w:t>
            </w:r>
          </w:p>
        </w:tc>
        <w:tc>
          <w:tcPr>
            <w:tcW w:type="dxa" w:w="1800"/>
          </w:tcPr>
          <w:p>
            <w:r>
              <w:t xml:space="preserve">Instructional days per horizon week</w:t>
            </w:r>
          </w:p>
        </w:tc>
        <w:tc>
          <w:tcPr>
            <w:tcW w:type="dxa" w:w="1800"/>
          </w:tcPr>
          <w:p>
            <w:r>
              <w:rPr>
                <w:b/>
                <w:bCs/>
              </w:rPr>
              <w:t xml:space="preserve">five</w:t>
            </w:r>
            <w:r>
              <w:t xml:space="preserve">, every week</w:t>
            </w:r>
          </w:p>
        </w:tc>
        <w:tc>
          <w:tcPr>
            <w:tcW w:type="dxa" w:w="1800"/>
          </w:tcPr>
          <w:p>
            <w:r>
              <w:t xml:space="preserve">The district's real calendar has a winter break inside this horizon, and this case ignores it. That is a simplification, not an oversight.</w:t>
            </w:r>
          </w:p>
        </w:tc>
        <w:tc>
          <w:tcPr>
            <w:tcW w:type="dxa" w:w="1800"/>
          </w:tcPr>
          <w:p>
            <w:r>
              <w:t xml:space="preserve">Does not enter the primary metric at all — both plans spend the same closure budget, so instructional days never appear in the arithmetic. It would matter immediately if the metric charged days, and a Hero who raises it has found a real edge of the model.</w:t>
            </w:r>
          </w:p>
        </w:tc>
      </w:tr>
      <w:tr>
        <w:tc>
          <w:tcPr>
            <w:tcW w:type="dxa" w:w="1800"/>
          </w:tcPr>
          <w:p>
            <w:r>
              <w:t xml:space="preserve">MA6</w:t>
            </w:r>
          </w:p>
        </w:tc>
        <w:tc>
          <w:tcPr>
            <w:tcW w:type="dxa" w:w="1800"/>
          </w:tcPr>
          <w:p>
            <w:r>
              <w:t xml:space="preserve">In-school transmission coefficient </w:t>
            </w:r>
            <w:r>
              <w:rPr>
                <w:rFonts w:ascii="Courier New" w:cs="Courier New" w:eastAsia="Courier New" w:hAnsi="Courier New"/>
              </w:rPr>
              <w:t xml:space="preserve">k</w:t>
            </w:r>
          </w:p>
        </w:tc>
        <w:tc>
          <w:tcPr>
            <w:tcW w:type="dxa" w:w="1800"/>
          </w:tcPr>
          <w:p>
            <w:r>
              <w:rPr>
                <w:b/>
                <w:bCs/>
              </w:rPr>
              <w:t xml:space="preserve">0.5</w:t>
            </w:r>
            <w:r>
              <w:t xml:space="preserve"> in-school transmissions per 1,000 students in an open week at a community rate of 100 per 100,000 that week</w:t>
            </w:r>
          </w:p>
        </w:tc>
        <w:tc>
          <w:tcPr>
            <w:tcW w:type="dxa" w:w="1800"/>
          </w:tcPr>
          <w:p>
            <w:r>
              <w:t xml:space="preserve">Reasoned down from real figures in [S6]: at 100 reported cases per 100,000 per week, roughly one reported case per 1,000 students per week; roughly twenty in-school close contacts per case; school-associated secondary attack rates of 0.7%–2% in mitigated K-12 settings; and reported cases undercounting infections. Those give a range around 0.3–0.8; 0.5 sits inside it.</w:t>
            </w:r>
          </w:p>
        </w:tc>
        <w:tc>
          <w:tcPr>
            <w:tcW w:type="dxa" w:w="1800"/>
          </w:tcPr>
          <w:p>
            <w:r>
              <w:rPr>
                <w:b/>
                <w:bCs/>
              </w:rPr>
              <w:t xml:space="preserve">Cancels out of the comparison entirely.</w:t>
            </w:r>
            <w:r>
              <w:t xml:space="preserve"> Both plans scale linearly in </w:t>
            </w:r>
            <w:r>
              <w:rPr>
                <w:rFonts w:ascii="Courier New" w:cs="Courier New" w:eastAsia="Courier New" w:hAnsi="Courier New"/>
              </w:rPr>
              <w:t xml:space="preserve">k</w:t>
            </w:r>
            <w:r>
              <w:t xml:space="preserve">, so the margin between them is identical at 0.25 and at 0.75. Flexed ±50%: the winner and the margin do not move at all. It sets the size of the numbers, not the answer.</w:t>
            </w:r>
          </w:p>
        </w:tc>
      </w:tr>
      <w:tr>
        <w:tc>
          <w:tcPr>
            <w:tcW w:type="dxa" w:w="1800"/>
          </w:tcPr>
          <w:p>
            <w:r>
              <w:t xml:space="preserve">MA7</w:t>
            </w:r>
          </w:p>
        </w:tc>
        <w:tc>
          <w:tcPr>
            <w:tcW w:type="dxa" w:w="1800"/>
          </w:tcPr>
          <w:p>
            <w:r>
              <w:t xml:space="preserve">Screening programme effectiveness </w:t>
            </w:r>
            <w:r>
              <w:rPr>
                <w:rFonts w:ascii="Courier New" w:cs="Courier New" w:eastAsia="Courier New" w:hAnsi="Courier New"/>
              </w:rPr>
              <w:t xml:space="preserve">e</w:t>
            </w:r>
          </w:p>
        </w:tc>
        <w:tc>
          <w:tcPr>
            <w:tcW w:type="dxa" w:w="1800"/>
          </w:tcPr>
          <w:p>
            <w:r>
              <w:rPr>
                <w:b/>
                <w:bCs/>
              </w:rPr>
              <w:t xml:space="preserve">0.10</w:t>
            </w:r>
            <w:r>
              <w:t xml:space="preserve"> of in-school transmission removed per open week</w:t>
            </w:r>
          </w:p>
        </w:tc>
        <w:tc>
          <w:tcPr>
            <w:tcW w:type="dxa" w:w="1800"/>
          </w:tcPr>
          <w:p>
            <w:r>
              <w:t xml:space="preserve">Built down from [S5]: 55.0% average sensitivity in asymptomatic people is the ceiling, and a real programme loses further ground to partial consent, a twice-weekly cadence against an infectious period shorter than the gap between tests, and time-to-result. 0.10 is a deliberately conservative programme-level figure, not the test's sensitivity.</w:t>
            </w:r>
          </w:p>
        </w:tc>
        <w:tc>
          <w:tcPr>
            <w:tcW w:type="dxa" w:w="1800"/>
          </w:tcPr>
          <w:p>
            <w:r>
              <w:t xml:space="preserve">The largest genuinely-estimated lever. Flexed ±50% (0.05–0.15): the winner does not change and the margin ranges 6.5%–16.3%.</w:t>
            </w:r>
          </w:p>
        </w:tc>
      </w:tr>
      <w:tr>
        <w:tc>
          <w:tcPr>
            <w:tcW w:type="dxa" w:w="1800"/>
          </w:tcPr>
          <w:p>
            <w:r>
              <w:t xml:space="preserve">MA8</w:t>
            </w:r>
          </w:p>
        </w:tc>
        <w:tc>
          <w:tcPr>
            <w:tcW w:type="dxa" w:w="1800"/>
          </w:tcPr>
          <w:p>
            <w:r>
              <w:t xml:space="preserve">The chain multiplier convention</w:t>
            </w:r>
          </w:p>
        </w:tc>
        <w:tc>
          <w:tcPr>
            <w:tcW w:type="dxa" w:w="1800"/>
          </w:tcPr>
          <w:p>
            <w:r>
              <w:t xml:space="preserve">a prevented transmission is credited with the geometric chain it would have started, at the planning growth rate </w:t>
            </w:r>
            <w:r>
              <w:rPr>
                <w:rFonts w:ascii="Courier New" w:cs="Courier New" w:eastAsia="Courier New" w:hAnsi="Courier New"/>
              </w:rPr>
              <w:t xml:space="preserve">g</w:t>
            </w:r>
            <w:r>
              <w:t xml:space="preserve">, truncated at the horizon</w:t>
            </w:r>
          </w:p>
        </w:tc>
        <w:tc>
          <w:tcPr>
            <w:tcW w:type="dxa" w:w="1800"/>
          </w:tcPr>
          <w:p>
            <w:r>
              <w:t xml:space="preserve">This is a modelling choice, not a measurement: it asserts that onward spread compounds at the same relative rate the fitted curve is growing at on the decision week, and that the credit stops at the horizon. It is the entire quantitative reason early action can beat late action, and it is asserted, not proven.</w:t>
            </w:r>
          </w:p>
        </w:tc>
        <w:tc>
          <w:tcPr>
            <w:tcW w:type="dxa" w:w="1800"/>
          </w:tcPr>
          <w:p>
            <w:r>
              <w:t xml:space="preserve">Flexed ±50% on </w:t>
            </w:r>
            <w:r>
              <w:rPr>
                <w:rFonts w:ascii="Courier New" w:cs="Courier New" w:eastAsia="Courier New" w:hAnsi="Courier New"/>
              </w:rPr>
              <w:t xml:space="preserve">g</w:t>
            </w:r>
            <w:r>
              <w:t xml:space="preserve">: the winner does not change and the margin ranges 7.8%–15.6%. A Hero who argues the chain should be credited at a </w:t>
            </w:r>
            <w:r>
              <w:rPr>
                <w:i/>
                <w:iCs/>
              </w:rPr>
              <w:t xml:space="preserve">falling</w:t>
            </w:r>
            <w:r>
              <w:t xml:space="preserve"> rate once a wave peaks has made a real argument this case cannot refute.</w:t>
            </w:r>
          </w:p>
        </w:tc>
      </w:tr>
      <w:tr>
        <w:tc>
          <w:tcPr>
            <w:tcW w:type="dxa" w:w="1800"/>
          </w:tcPr>
          <w:p>
            <w:r>
              <w:t xml:space="preserve">MA9</w:t>
            </w:r>
          </w:p>
        </w:tc>
        <w:tc>
          <w:tcPr>
            <w:tcW w:type="dxa" w:w="1800"/>
          </w:tcPr>
          <w:p>
            <w:r>
              <w:t xml:space="preserve">Timing convention — when the Tripwire's closure starts once its level is crossed</w:t>
            </w:r>
          </w:p>
        </w:tc>
        <w:tc>
          <w:tcPr>
            <w:tcW w:type="dxa" w:w="1800"/>
          </w:tcPr>
          <w:p>
            <w:r>
              <w:t xml:space="preserve">the closure covers week </w:t>
            </w:r>
            <w:r>
              <w:rPr>
                <w:rFonts w:ascii="Courier New" w:cs="Courier New" w:eastAsia="Courier New" w:hAnsi="Courier New"/>
              </w:rPr>
              <w:t xml:space="preserve">tB</w:t>
            </w:r>
            <w:r>
              <w:t xml:space="preserve"> </w:t>
            </w:r>
            <w:r>
              <w:rPr>
                <w:b/>
                <w:bCs/>
              </w:rPr>
              <w:t xml:space="preserve">itself</w:t>
            </w:r>
            <w:r>
              <w:t xml:space="preserve"> and </w:t>
            </w:r>
            <w:r>
              <w:rPr>
                <w:rFonts w:ascii="Courier New" w:cs="Courier New" w:eastAsia="Courier New" w:hAnsi="Courier New"/>
              </w:rPr>
              <w:t xml:space="preserve">tB+1</w:t>
            </w:r>
            <w:r>
              <w:t xml:space="preserve">; </w:t>
            </w:r>
            <w:r>
              <w:rPr>
                <w:b/>
                <w:bCs/>
              </w:rPr>
              <w:t xml:space="preserve">no reporting or decision lag</w:t>
            </w:r>
          </w:p>
        </w:tc>
        <w:tc>
          <w:tcPr>
            <w:tcW w:type="dxa" w:w="1800"/>
          </w:tcPr>
          <w:p>
            <w:r>
              <w:t xml:space="preserve">APPENDIX D, Step 5 writes this out as </w:t>
            </w:r>
            <w:r>
              <w:rPr>
                <w:rFonts w:ascii="Courier New" w:cs="Courier New" w:eastAsia="Courier New" w:hAnsi="Courier New"/>
              </w:rPr>
              <w:t xml:space="preserve">X(tB) + X(tB+1)</w:t>
            </w:r>
            <w:r>
              <w:t xml:space="preserve">, and both plans are scored the same way: the Early Brake's window is the first two horizon weeks, the Tripwire's is the first two weeks from its crossing. It is the reading most </w:t>
            </w:r>
            <w:r>
              <w:rPr>
                <w:i/>
                <w:iCs/>
              </w:rPr>
              <w:t xml:space="preserve">generous</w:t>
            </w:r>
            <w:r>
              <w:t xml:space="preserve"> to the Tripwire, because a level read off reported data cannot in reality be acted on until the week it describes has finished. It is written down here because it is a choice, not a measurement.</w:t>
            </w:r>
          </w:p>
        </w:tc>
        <w:tc>
          <w:tcPr>
            <w:tcW w:type="dxa" w:w="1800"/>
          </w:tcPr>
          <w:p>
            <w:r>
              <w:rPr>
                <w:b/>
                <w:bCs/>
              </w:rPr>
              <w:t xml:space="preserve">Load-bearing: the stated margin holds only under it.</w:t>
            </w:r>
            <w:r>
              <w:t xml:space="preserve"> Push the Tripwire's window one week later — either by charging it a one-week reporting lag, or by reading its crossing week off D2's tangent line instead of off the curve — and its closure lands on a later pair of weeks, changing its total by enough to move the margin past this project's 20% balance cap. Which plan that favours, and by how much, is exactly what D2 and D6 ask you to compute: work the comparison under </w:t>
            </w:r>
            <w:r>
              <w:rPr>
                <w:b/>
                <w:bCs/>
              </w:rPr>
              <w:t xml:space="preserve">both</w:t>
            </w:r>
            <w:r>
              <w:t xml:space="preserve"> timing conventions and say which one you would defend to the board. A Hero who charges the Tripwire a reporting lag has found the real seam in this case.</w:t>
            </w:r>
          </w:p>
        </w:tc>
      </w:tr>
    </w:tbl>
    <w:p/>
    <w:p>
      <w:pPr>
        <w:pStyle w:val="Heading2"/>
        <w:spacing w:after="120" w:before="240"/>
      </w:pPr>
      <w:r>
        <w:t xml:space="preserve">Appendix G — Learn More: Further Reading</w:t>
      </w:r>
    </w:p>
    <w:p>
      <w:r>
        <w:t xml:space="preserve">This case sticks to the county's published case counts and the board's own rules. If you want to go beyond what the Dilemma and Challenges require, these are real, freely available resources on the subject the case is built from — reading them is optional and does not affect any grade.</w:t>
      </w:r>
    </w:p>
    <w:p>
      <w:pPr>
        <w:ind w:left="360"/>
      </w:pPr>
      <w:r>
        <w:t xml:space="preserve">- </w:t>
      </w:r>
      <w:hyperlink w:history="1" r:id="rIdsxnj3_yir-rssy4purrzh">
        <w:r>
          <w:rPr>
            <w:rStyle w:val="Hyperlink"/>
          </w:rPr>
          <w:t xml:space="preserve">Epidemic curve — Wikipedia</w:t>
        </w:r>
      </w:hyperlink>
      <w:r>
        <w:t xml:space="preserve"> — a plain-language overview of what an epidemic curve is and how epidemiologists read its shape, the same kind of chart Appendices A and B are built from.</w:t>
      </w:r>
    </w:p>
    <w:p>
      <w:pPr>
        <w:ind w:left="360"/>
      </w:pPr>
      <w:r>
        <w:t xml:space="preserve">- </w:t>
      </w:r>
      <w:hyperlink w:history="1" r:id="rId8el9no0pyk371s6n6xrms">
        <w:r>
          <w:rPr>
            <w:rStyle w:val="Hyperlink"/>
          </w:rPr>
          <w:t xml:space="preserve">Concavity introduction — Khan Academy</w:t>
        </w:r>
      </w:hyperlink>
      <w:r>
        <w:t xml:space="preserve"> — a short video walking through what it means for a curve to be concave up or down, the exact idea behind "the curve's turn."</w:t>
      </w:r>
    </w:p>
    <w:p>
      <w:pPr>
        <w:ind w:left="360"/>
      </w:pPr>
      <w:r>
        <w:t xml:space="preserve">- </w:t>
      </w:r>
      <w:hyperlink w:history="1" r:id="rId4sl3ppdj9118-jnxdetmi">
        <w:r>
          <w:rPr>
            <w:rStyle w:val="Hyperlink"/>
          </w:rPr>
          <w:t xml:space="preserve">Operational Guidance for K-12 Schools and Early Care and Education Programs — CDC</w:t>
        </w:r>
      </w:hyperlink>
      <w:r>
        <w:t xml:space="preserve"> — the CDC's own guidance on when and how schools used diagnostic and screening testing, the real-world basis for the Tripwire's testing programme.</w:t>
      </w:r>
    </w:p>
    <w:p>
      <w:pPr>
        <w:ind w:left="360"/>
      </w:pPr>
      <w:r>
        <w:t xml:space="preserve">- </w:t>
      </w:r>
      <w:hyperlink w:history="1" r:id="rIdtid6gslt809ptjmu9p4ca">
        <w:r>
          <w:rPr>
            <w:rStyle w:val="Hyperlink"/>
          </w:rPr>
          <w:t xml:space="preserve">Chittenden County, Vermont — COVID-19 data, USAFacts</w:t>
        </w:r>
      </w:hyperlink>
      <w:r>
        <w:t xml:space="preserve"> — a public dashboard of the same county's reported case and death totals referenced in Appendices A, B and E.</w:t>
      </w:r>
    </w:p>
    <w:p>
      <w:pPr>
        <w:ind w:left="360"/>
      </w:pPr>
      <w:r>
        <w:t xml:space="preserve">- </w:t>
      </w:r>
      <w:hyperlink w:history="1" r:id="rIdxaa7wowb3ksp4nvhfatoq">
        <w:r>
          <w:rPr>
            <w:rStyle w:val="Hyperlink"/>
          </w:rPr>
          <w:t xml:space="preserve">COVID-19 pandemic in Vermont — Wikipedia</w:t>
        </w:r>
      </w:hyperlink>
      <w:r>
        <w:t xml:space="preserve"> — background on how the pandemic unfolded statewide, for context beyond the single county this case follows.</w:t>
      </w:r>
    </w:p>
    <w:p>
      <w:pPr>
        <w:pStyle w:val="Heading2"/>
        <w:spacing w:after="120" w:before="240"/>
      </w:pPr>
      <w:r>
        <w:t xml:space="preserve">Appendix H — "How To…" Math Questions To Research</w:t>
      </w:r>
    </w:p>
    <w:p>
      <w:r>
        <w:rPr>
          <w:b/>
          <w:bCs/>
        </w:rPr>
        <w:t xml:space="preserve">Vocabulary terms</w:t>
      </w:r>
    </w:p>
    <w:p>
      <w:pPr>
        <w:ind w:left="360"/>
      </w:pPr>
      <w:r>
        <w:t xml:space="preserve">- Derivative</w:t>
      </w:r>
    </w:p>
    <w:p>
      <w:pPr>
        <w:ind w:left="360"/>
      </w:pPr>
      <w:r>
        <w:t xml:space="preserve">- Instantaneous Rate Of Change</w:t>
      </w:r>
    </w:p>
    <w:p>
      <w:pPr>
        <w:ind w:left="360"/>
      </w:pPr>
      <w:r>
        <w:t xml:space="preserve">- Tangent Line</w:t>
      </w:r>
    </w:p>
    <w:p>
      <w:pPr>
        <w:ind w:left="360"/>
      </w:pPr>
      <w:r>
        <w:t xml:space="preserve">- Differentiable</w:t>
      </w:r>
    </w:p>
    <w:p>
      <w:pPr>
        <w:ind w:left="360"/>
      </w:pPr>
      <w:r>
        <w:t xml:space="preserve">- Critical Point</w:t>
      </w:r>
    </w:p>
    <w:p>
      <w:pPr>
        <w:ind w:left="360"/>
      </w:pPr>
      <w:r>
        <w:t xml:space="preserve">- Local Maximum</w:t>
      </w:r>
    </w:p>
    <w:p>
      <w:pPr>
        <w:ind w:left="360"/>
      </w:pPr>
      <w:r>
        <w:t xml:space="preserve">- Local Minimum</w:t>
      </w:r>
    </w:p>
    <w:p>
      <w:pPr>
        <w:ind w:left="360"/>
      </w:pPr>
      <w:r>
        <w:t xml:space="preserve">- Concavity</w:t>
      </w:r>
    </w:p>
    <w:p>
      <w:r>
        <w:rPr>
          <w:b/>
          <w:bCs/>
        </w:rPr>
        <w:t xml:space="preserve">"How to…" questions</w:t>
      </w:r>
    </w:p>
    <w:p>
      <w:pPr>
        <w:ind w:left="360"/>
      </w:pPr>
      <w:r>
        <w:t xml:space="preserve">- How to find a derivative using the power rule</w:t>
      </w:r>
    </w:p>
    <w:p>
      <w:pPr>
        <w:ind w:left="360"/>
      </w:pPr>
      <w:r>
        <w:t xml:space="preserve">- How to find the equation of a tangent line at a point</w:t>
      </w:r>
    </w:p>
    <w:p>
      <w:pPr>
        <w:ind w:left="360"/>
      </w:pPr>
      <w:r>
        <w:t xml:space="preserve">- How to find critical points of a function</w:t>
      </w:r>
    </w:p>
    <w:p>
      <w:pPr>
        <w:ind w:left="360"/>
      </w:pPr>
      <w:r>
        <w:t xml:space="preserve">- How to use the first derivative test to classify a critical point</w:t>
      </w:r>
    </w:p>
    <w:p>
      <w:pPr>
        <w:ind w:left="360"/>
      </w:pPr>
      <w:r>
        <w:t xml:space="preserve">- How to solve an optimization problem using derivatives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vwbbgh7zhapunajl9av" Type="http://schemas.openxmlformats.org/officeDocument/2006/relationships/hyperlink" Target="https://data.cdc.gov/resource/yviw-z6j5.json?$order=date&amp;$limit=40&amp;fips_code=50007&amp;$where=date%20between%20%272021-05-29T00:00:00%27%20and%20%272021-12-26T00:00:00%27" TargetMode="External"/><Relationship Id="rIdxrsjzpxo6kydsvv9pqjjr" Type="http://schemas.openxmlformats.org/officeDocument/2006/relationships/hyperlink" Target="https://data.cdc.gov/resource/3nnm-4jni.json?$select=county,county_fips,state,county_population,health_service_area_population&amp;$limit=2&amp;county_fips=50007" TargetMode="External"/><Relationship Id="rIdrk9cudo4mdkvgcujmrci-" Type="http://schemas.openxmlformats.org/officeDocument/2006/relationships/hyperlink" Target="https://data.cdc.gov/api/views/3nnm-4jni.json" TargetMode="External"/><Relationship Id="rId7ok8hk98i5szgqjpb6tcq" Type="http://schemas.openxmlformats.org/officeDocument/2006/relationships/hyperlink" Target="https://data.cdc.gov/api/views/nra9-vzzn.json" TargetMode="External"/><Relationship Id="rIdd9nr6obr9whsmyps_uinm" Type="http://schemas.openxmlformats.org/officeDocument/2006/relationships/hyperlink" Target="https://www.cochrane.org/evidence/CD013705_how-accurate-are-rapid-antigen-tests-diagnosing-covid-19" TargetMode="External"/><Relationship Id="rIdim6q5ysn6mlzlep4ip-z4" Type="http://schemas.openxmlformats.org/officeDocument/2006/relationships/hyperlink" Target="https://www.ncbi.nlm.nih.gov/books/NBK570438/" TargetMode="External"/><Relationship Id="rIdsajktywbbujlpzsp2lfzb" Type="http://schemas.openxmlformats.org/officeDocument/2006/relationships/hyperlink" Target="https://data.cdc.gov/resource/yviw-z6j5.json?$order=date&amp;$limit=40&amp;fips_code=50007&amp;$where=date%20between%20%272021-05-29T00:00:00%27%20and%20%272021-12-26T00:00:00%27" TargetMode="External"/><Relationship Id="rIdyqddqzzallyy2grvibbp1" Type="http://schemas.openxmlformats.org/officeDocument/2006/relationships/hyperlink" Target="https://data.cdc.gov/resource/yviw-z6j5.json?$order=date&amp;$limit=40&amp;fips_code=50007&amp;$where=date%20between%20%272021-05-29T00:00:00%27%20and%20%272021-12-26T00:00:00%27" TargetMode="External"/><Relationship Id="rIdsxnj3_yir-rssy4purrzh" Type="http://schemas.openxmlformats.org/officeDocument/2006/relationships/hyperlink" Target="https://en.wikipedia.org/wiki/Epidemic_curve" TargetMode="External"/><Relationship Id="rId8el9no0pyk371s6n6xrms" Type="http://schemas.openxmlformats.org/officeDocument/2006/relationships/hyperlink" Target="https://www.khanacademy.org/math/differential-calculus/derivative-applications/concavity-inflection-points/v/concavity-concave-upwards-and-concave-downwards-intervals" TargetMode="External"/><Relationship Id="rId4sl3ppdj9118-jnxdetmi" Type="http://schemas.openxmlformats.org/officeDocument/2006/relationships/hyperlink" Target="https://archive.cdc.gov/www_cdc_gov/coronavirus/2019-ncov/community/schools-childcare/k-12-childcare-guidance.html" TargetMode="External"/><Relationship Id="rIdtid6gslt809ptjmu9p4ca" Type="http://schemas.openxmlformats.org/officeDocument/2006/relationships/hyperlink" Target="https://usafacts.org/visualizations/coronavirus-covid-19-spread-map/state/vermont/county/chittenden-county/" TargetMode="External"/><Relationship Id="rIdxaa7wowb3ksp4nvhfatoq" Type="http://schemas.openxmlformats.org/officeDocument/2006/relationships/hyperlink" Target="https://en.wikipedia.org/wiki/COVID-19_pandemic_in_Vermont"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2026-08-18T07:37:55.367Z</dcterms:created>
  <dcterms:modified xsi:type="dcterms:W3CDTF">2026-08-18T07:37:55.368Z</dcterms:modified>
</cp:coreProperties>
</file>

<file path=docProps/custom.xml><?xml version="1.0" encoding="utf-8"?>
<Properties xmlns="http://schemas.openxmlformats.org/officeDocument/2006/custom-properties" xmlns:vt="http://schemas.openxmlformats.org/officeDocument/2006/docPropsVTypes"/>
</file>