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Pattern Rights</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Priya Deshmukh is elbow-deep in a stack of hand-inked florals when her phone buzzes against the light table. Thistlebrook's production manager, calling for the third time today. Behind her, pinned across two corkboards, hangs the same trailing-vine motif rendered two different ways: one tiled in a plain, brick-straight grid, the edge of each square meeting the next like tile in a bathroom; the other staggered, every other column dropped, the seams disappearing into the pattern's own rhythm. Both are the same drawing. Neither is wrong.</w:t>
      </w:r>
    </w:p>
    <w:p>
      <w:r>
        <w:t xml:space="preserve">The studio smells like spray-mount and burnt coffee. Somewhere under the pile is the licensing term sheet her lawyer marked up last week, half the clauses still in red. Thistlebrook wants an answer before their engraving room opens a job ticket Thursday morning — whichever repeat scheme Priya signs off on gets burned onto the press cylinder, and cylinders are not something anyone re-cuts on a whim.</w:t>
      </w:r>
    </w:p>
    <w:p>
      <w:r>
        <w:t xml:space="preserve">She's spent six years building a client list on this vine pattern's reputation for looking expensive without being unreasonable to print. This is the first time a mill this size has wanted it for a whole yardage program instead of one throw-pillow run. Get the repeat scheme right and it's the biggest single royalty check of her career. Get it wrong and either the seams show on every sofa cushion made from her fabric, or Thistlebrook eats a setup cost that kills the reorder.</w:t>
      </w:r>
    </w:p>
    <w:p>
      <w:r>
        <w:t xml:space="preserve">Priya opens the term sheet, pulls both corkboard photos into one browser tab, and starts typing.</w:t>
      </w:r>
    </w:p>
    <w:p>
      <w:pPr>
        <w:pStyle w:val="Heading2"/>
        <w:spacing w:after="120" w:before="240"/>
      </w:pPr>
      <w:r>
        <w:t xml:space="preserve">Background</w:t>
      </w:r>
    </w:p>
    <w:p>
      <w:r>
        <w:t xml:space="preserve">Priya Deshmukh is an independent surface-pattern designer who licenses original repeat artwork to fabric manufacturers for a running royalty per yard sold. She does not own or operate a press and is not a party to Thistlebrook Textiles' own production economics, but the </w:t>
      </w:r>
      <w:r>
        <w:rPr>
          <w:b/>
          <w:bCs/>
        </w:rPr>
        <w:t xml:space="preserve">repeat scheme</w:t>
      </w:r>
      <w:r>
        <w:t xml:space="preserve"> named in the license is a term she controls and must choose before signing. Thistlebrook Textiles is a mid-size home-décor fabric printer being asked to commit its printing setup — an engraved cylinder that is expensive and slow to change once cut — to whichever repeat scheme the signed license specifies.</w:t>
      </w:r>
    </w:p>
    <w:p>
      <w:r>
        <w:t xml:space="preserve">Two repeat schemes are under negotiation for Priya's vine motif, each a fully alternative way of tiling the same artwork across a bolt of fabric:</w:t>
      </w:r>
    </w:p>
    <w:p>
      <w:r>
        <w:rPr>
          <w:b/>
          <w:bCs/>
        </w:rPr>
        <w:t xml:space="preserve">The Straight Set</w:t>
      </w:r>
      <w:r>
        <w:t xml:space="preserve"> would tile the motif in a uniform grid: every repeat unit placed identically, with no offset between adjacent columns. Under this scheme, every printed unit must run exactly as drawn — a mirrored or rotated unit would create a visible break in the grid's straight lines (SEE APPENDIX A).</w:t>
      </w:r>
    </w:p>
    <w:p>
      <w:r>
        <w:rPr>
          <w:b/>
          <w:bCs/>
        </w:rPr>
        <w:t xml:space="preserve">The Half-Drop</w:t>
      </w:r>
      <w:r>
        <w:t xml:space="preserve"> would offset every other column by half the motif's repeat height, the standard technique surface-pattern designers use to break up a straight grid's visible seams. Because alternating columns are already offset from one another, Thistlebrook's plate room confirms that each column can independently run mirrored or as-drawn from the same single engraving with no visible edge mismatch — a flexibility The Straight Set's zero-offset grid cannot offer (SEE APPENDIX A). The Half-Drop's offset lattice also does not repeat with a single column's width: the offset pattern itself (dropped column, un-dropped column, dropped column, …) only returns to its starting arrangement every </w:t>
      </w:r>
      <w:r>
        <w:rPr>
          <w:i/>
          <w:iCs/>
        </w:rPr>
        <w:t xml:space="preserve">second</w:t>
      </w:r>
      <w:r>
        <w:t xml:space="preserve"> column, so the smallest rectangular block that tiles the whole fabric by pure straight-line translation alone — the scheme's </w:t>
      </w:r>
      <w:r>
        <w:rPr>
          <w:i/>
          <w:iCs/>
        </w:rPr>
        <w:t xml:space="preserve">true</w:t>
      </w:r>
      <w:r>
        <w:t xml:space="preserve"> repeating tile — is twice as wide as a single visual column, and contains more of the vine motif's distinct floral elements before the tile genuinely closes (SEE APPENDIX A).</w:t>
      </w:r>
    </w:p>
    <w:p>
      <w:r>
        <w:t xml:space="preserve">Both schemes must fit within Thistlebrook's actual printable fabric width on the rotary-screen press it plans to run the job on (SEE APPENDIX B). Cutting a new engraved cylinder — one per repeat scheme, one time, before any yardage prints — is Thistlebrook's dominant one-time setup cost, and the two schemes do not cost the same to engrave, because the Half-Drop's offset lattice requires tighter cross-column registration during engraving than the Straight Set's uniform grid (SEE APPENDIX C). Once engraved, a cylinder is only rated for a fixed length of fabric before it wears past tolerance and Thistlebrook has to re-cut it — that rated print run, combined with the real fabric width, sets the total yardage either scheme can produce from a single setup (SEE APPENDIX B).</w:t>
      </w:r>
    </w:p>
    <w:p>
      <w:r>
        <w:t xml:space="preserve">Thistlebrook also wants the option to release a small "featured" capsule from whichever scheme wins — a limited run recoloring a chosen subset of the vine motif's distinct floral elements in a contrast thread, sold as a premium companion piece. How many distinct subsets of that size are even possible depends on how many floral elements sit inside one </w:t>
      </w:r>
      <w:r>
        <w:rPr>
          <w:i/>
          <w:iCs/>
        </w:rPr>
        <w:t xml:space="preserve">true</w:t>
      </w:r>
      <w:r>
        <w:t xml:space="preserve"> repeating tile — which, per Appendix A, differs between the two schemes (SEE APPENDIX A).</w:t>
      </w:r>
    </w:p>
    <w:p>
      <w:r>
        <w:t xml:space="preserve">Every dollar and yard figure Priya and Thistlebrook use to compare the two schemes is sourced in </w:t>
      </w:r>
      <w:r>
        <w:rPr>
          <w:b/>
          <w:bCs/>
        </w:rPr>
        <w:t xml:space="preserve">APPENDIX E</w:t>
      </w:r>
      <w:r>
        <w:t xml:space="preserve">, or stated as an explicit modeling assumption in </w:t>
      </w:r>
      <w:r>
        <w:rPr>
          <w:b/>
          <w:bCs/>
        </w:rPr>
        <w:t xml:space="preserve">APPENDIX D</w:t>
      </w:r>
      <w:r>
        <w:t xml:space="preserve"> where no public figure exists. The vocabulary and "how to…" skills this case will ask of you are listed in </w:t>
      </w:r>
      <w:r>
        <w:rPr>
          <w:b/>
          <w:bCs/>
        </w:rPr>
        <w:t xml:space="preserve">APPENDIX G</w:t>
      </w:r>
      <w:r>
        <w:t xml:space="preserve"> — that is where Challenge 1 sends you. Curious about the real history and craft behind repeat-pattern textile printing? SEE APPENDIX F for further reading.</w:t>
      </w:r>
    </w:p>
    <w:p>
      <w:pPr>
        <w:pStyle w:val="Heading2"/>
        <w:spacing w:after="120" w:before="240"/>
      </w:pPr>
      <w:r>
        <w:t xml:space="preserve">Dilemma</w:t>
      </w:r>
    </w:p>
    <w:p>
      <w:r>
        <w:t xml:space="preserve">You are Priya Deshmukh. Do you: A.) License the vine pattern as The Straight Set — a straight-grid repeat OR B.) License the vine pattern as The Half-Drop — a half-drop repeat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configuration-count table (SEE APPENDIX A) for The Straight Set and The Half-Drop: the     total number of distinct, licensable printable configurations available to Thistlebrook from a     single engraved cylinder under each scheme — computed by the Fundamental Counting Principle     from each scheme's independent choices (licensed colorways, and, for The Half-Drop only, the     independent mirror-or-as-drawn state of each alternating column) — with the full application of     the principle shown in writing for at least one scheme.     D2. A featured-capsule selection table (SEE APPENDIX A) using combinations: for a capsule that     recolors a chosen subset of the vine motif's distinct floral elements within one </w:t>
      </w:r>
      <w:r>
        <w:rPr>
          <w:i/>
          <w:iCs/>
        </w:rPr>
        <w:t xml:space="preserve">true</w:t>
      </w:r>
      <w:r>
        <w:t xml:space="preserve">,     fully-repeating tile, compute the number of distinct possible subsets of that size under The     Straight Set and under The Half-Drop, with the full binomial-coefficient computation shown for     at least one scheme.     D3. A guaranteed-repeat collision analysis (SEE APPENDIX A): using D1's configuration count as     the number of pigeonholes, apply the Pigeonhole Principle to find the minimum number of repeat     units Thistlebrook would have to print in a single run before two of them are </w:t>
      </w:r>
      <w:r>
        <w:rPr>
          <w:i/>
          <w:iCs/>
        </w:rPr>
        <w:t xml:space="preserve">guaranteed</w:t>
      </w:r>
      <w:r>
        <w:t xml:space="preserve"> to     show the identical configuration, for each scheme, and compare that guaranteed-collision     threshold to the actual number of repeat units printed in a real production run at     Thistlebrook's real fabric width (SEE APPENDIX B), to state, with your reasoning shown, whether     Thistlebrook could honestly market a "no two repeats identical" claim for a featured-capsule run     under each scheme.     D4. A setup-dollar synthesis table (SEE APPENDICES B AND C) computing, for The Straight Set and     The Half-Drop: (a) the total repeat units that fit across Thistlebrook's real printable fabric     width multiplied by the total repeat units that fit along one engraved cylinder's full rated     print run — using the Fundamental Counting Principle, and using that same total as the "actual     number of repeat units printed" D3 asks you to compare against its guarantee threshold — then,     separately, converting the cylinder's full rated print run directly to yards and dividing by     each scheme's one-time engraving setup cost to find </w:t>
      </w:r>
      <w:r>
        <w:rPr>
          <w:b/>
          <w:bCs/>
        </w:rPr>
        <w:t xml:space="preserve">yards producible per dollar of setup     cost — this case's primary metric</w:t>
      </w:r>
      <w:r>
        <w:t xml:space="preserve">, and (b) D2's featured-capsule subset count divided by the     same setup cost, producing two comparable dollar-efficiency figures per scheme, with the full     arithmetic shown for both.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Repeat Scheme &amp; Configuration Definitions</w:t>
      </w:r>
    </w:p>
    <w:p>
      <w:r>
        <w:rPr>
          <w:b/>
          <w:bCs/>
        </w:rPr>
        <w:t xml:space="preserve">Licensing terms fixed for both schemes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Colorways covered under this license</w:t>
            </w:r>
          </w:p>
        </w:tc>
        <w:tc>
          <w:tcPr>
            <w:tcW w:type="dxa" w:w="4500"/>
          </w:tcPr>
          <w:p>
            <w:r>
              <w:t xml:space="preserve">4</w:t>
            </w:r>
          </w:p>
        </w:tc>
      </w:tr>
      <w:tr>
        <w:tc>
          <w:tcPr>
            <w:tcW w:type="dxa" w:w="4500"/>
          </w:tcPr>
          <w:p>
            <w:r>
              <w:t xml:space="preserve">Featured-capsule subset size (floral elements recolored)</w:t>
            </w:r>
          </w:p>
        </w:tc>
        <w:tc>
          <w:tcPr>
            <w:tcW w:type="dxa" w:w="4500"/>
          </w:tcPr>
          <w:p>
            <w:r>
              <w:t xml:space="preserve">2</w:t>
            </w:r>
          </w:p>
        </w:tc>
      </w:tr>
      <w:tr>
        <w:tc>
          <w:tcPr>
            <w:tcW w:type="dxa" w:w="4500"/>
          </w:tcPr>
          <w:p>
            <w:r>
              <w:t xml:space="preserve">One column's printed width (both schemes use the same artwork column)</w:t>
            </w:r>
          </w:p>
        </w:tc>
        <w:tc>
          <w:tcPr>
            <w:tcW w:type="dxa" w:w="4500"/>
          </w:tcPr>
          <w:p>
            <w:r>
              <w:t xml:space="preserve">18 inches</w:t>
            </w:r>
          </w:p>
        </w:tc>
      </w:tr>
      <w:tr>
        <w:tc>
          <w:tcPr>
            <w:tcW w:type="dxa" w:w="4500"/>
          </w:tcPr>
          <w:p>
            <w:r>
              <w:t xml:space="preserve">One column's repeat height (both schemes use the same artwork column)</w:t>
            </w:r>
          </w:p>
        </w:tc>
        <w:tc>
          <w:tcPr>
            <w:tcW w:type="dxa" w:w="4500"/>
          </w:tcPr>
          <w:p>
            <w:r>
              <w:t xml:space="preserve">27 inches</w:t>
            </w:r>
          </w:p>
        </w:tc>
      </w:tr>
    </w:tbl>
    <w:p/>
    <w:p>
      <w:r>
        <w:rPr>
          <w:b/>
          <w:bCs/>
        </w:rPr>
        <w:t xml:space="preserve">The Straight Set (Option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Adjacent-column offset</w:t>
            </w:r>
          </w:p>
        </w:tc>
        <w:tc>
          <w:tcPr>
            <w:tcW w:type="dxa" w:w="4500"/>
          </w:tcPr>
          <w:p>
            <w:r>
              <w:t xml:space="preserve">None — uniform grid</w:t>
            </w:r>
          </w:p>
        </w:tc>
      </w:tr>
      <w:tr>
        <w:tc>
          <w:tcPr>
            <w:tcW w:type="dxa" w:w="4500"/>
          </w:tcPr>
          <w:p>
            <w:r>
              <w:t xml:space="preserve">Independent mirror-or-as-drawn choice per column?</w:t>
            </w:r>
          </w:p>
        </w:tc>
        <w:tc>
          <w:tcPr>
            <w:tcW w:type="dxa" w:w="4500"/>
          </w:tcPr>
          <w:p>
            <w:r>
              <w:t xml:space="preserve">No — a mirrored unit breaks the grid's straight seam</w:t>
            </w:r>
          </w:p>
        </w:tc>
      </w:tr>
      <w:tr>
        <w:tc>
          <w:tcPr>
            <w:tcW w:type="dxa" w:w="4500"/>
          </w:tcPr>
          <w:p>
            <w:r>
              <w:t xml:space="preserve">Width of the </w:t>
            </w:r>
            <w:r>
              <w:rPr>
                <w:i/>
                <w:iCs/>
              </w:rPr>
              <w:t xml:space="preserve">true</w:t>
            </w:r>
            <w:r>
              <w:t xml:space="preserve">, fully-tiling repeat unit</w:t>
            </w:r>
          </w:p>
        </w:tc>
        <w:tc>
          <w:tcPr>
            <w:tcW w:type="dxa" w:w="4500"/>
          </w:tcPr>
          <w:p>
            <w:r>
              <w:t xml:space="preserve">18 inches (one column — the visual tile and the true tile are the same unit)</w:t>
            </w:r>
          </w:p>
        </w:tc>
      </w:tr>
      <w:tr>
        <w:tc>
          <w:tcPr>
            <w:tcW w:type="dxa" w:w="4500"/>
          </w:tcPr>
          <w:p>
            <w:r>
              <w:t xml:space="preserve">Floral elements per </w:t>
            </w:r>
            <w:r>
              <w:rPr>
                <w:i/>
                <w:iCs/>
              </w:rPr>
              <w:t xml:space="preserve">true</w:t>
            </w:r>
            <w:r>
              <w:t xml:space="preserve"> repeating tile</w:t>
            </w:r>
          </w:p>
        </w:tc>
        <w:tc>
          <w:tcPr>
            <w:tcW w:type="dxa" w:w="4500"/>
          </w:tcPr>
          <w:p>
            <w:r>
              <w:t xml:space="preserve">6</w:t>
            </w:r>
          </w:p>
        </w:tc>
      </w:tr>
    </w:tbl>
    <w:p/>
    <w:p>
      <w:r>
        <w:rPr>
          <w:b/>
          <w:bCs/>
        </w:rPr>
        <w:t xml:space="preserve">The Half-Drop (Option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Adjacent-column offset</w:t>
            </w:r>
          </w:p>
        </w:tc>
        <w:tc>
          <w:tcPr>
            <w:tcW w:type="dxa" w:w="4500"/>
          </w:tcPr>
          <w:p>
            <w:r>
              <w:t xml:space="preserve">Half the motif's repeat height</w:t>
            </w:r>
          </w:p>
        </w:tc>
      </w:tr>
      <w:tr>
        <w:tc>
          <w:tcPr>
            <w:tcW w:type="dxa" w:w="4500"/>
          </w:tcPr>
          <w:p>
            <w:r>
              <w:t xml:space="preserve">Independent mirror-or-as-drawn choice per column?</w:t>
            </w:r>
          </w:p>
        </w:tc>
        <w:tc>
          <w:tcPr>
            <w:tcW w:type="dxa" w:w="4500"/>
          </w:tcPr>
          <w:p>
            <w:r>
              <w:t xml:space="preserve">Yes — each column may run mirrored or as-drawn from the same engraving</w:t>
            </w:r>
          </w:p>
        </w:tc>
      </w:tr>
      <w:tr>
        <w:tc>
          <w:tcPr>
            <w:tcW w:type="dxa" w:w="4500"/>
          </w:tcPr>
          <w:p>
            <w:r>
              <w:t xml:space="preserve">Width of the </w:t>
            </w:r>
            <w:r>
              <w:rPr>
                <w:i/>
                <w:iCs/>
              </w:rPr>
              <w:t xml:space="preserve">true</w:t>
            </w:r>
            <w:r>
              <w:t xml:space="preserve">, fully-tiling repeat unit</w:t>
            </w:r>
          </w:p>
        </w:tc>
        <w:tc>
          <w:tcPr>
            <w:tcW w:type="dxa" w:w="4500"/>
          </w:tcPr>
          <w:p>
            <w:r>
              <w:t xml:space="preserve">36 inches (two columns — see note below)</w:t>
            </w:r>
          </w:p>
        </w:tc>
      </w:tr>
      <w:tr>
        <w:tc>
          <w:tcPr>
            <w:tcW w:type="dxa" w:w="4500"/>
          </w:tcPr>
          <w:p>
            <w:r>
              <w:t xml:space="preserve">Floral elements per </w:t>
            </w:r>
            <w:r>
              <w:rPr>
                <w:i/>
                <w:iCs/>
              </w:rPr>
              <w:t xml:space="preserve">true</w:t>
            </w:r>
            <w:r>
              <w:t xml:space="preserve"> repeating tile</w:t>
            </w:r>
          </w:p>
        </w:tc>
        <w:tc>
          <w:tcPr>
            <w:tcW w:type="dxa" w:w="4500"/>
          </w:tcPr>
          <w:p>
            <w:r>
              <w:t xml:space="preserve">12 (double The Straight Set's count — see note below)</w:t>
            </w:r>
          </w:p>
        </w:tc>
      </w:tr>
    </w:tbl>
    <w:p/>
    <w:p>
      <w:r>
        <w:rPr>
          <w:b/>
          <w:bCs/>
        </w:rPr>
        <w:t xml:space="preserve">Why The Half-Drop's true tile is twice as wide, and holds double the floral elements.</w:t>
      </w:r>
      <w:r>
        <w:t xml:space="preserve"> A half-drop offsets every other column by exactly half the repeat height. The offset </w:t>
      </w:r>
      <w:r>
        <w:rPr>
          <w:i/>
          <w:iCs/>
        </w:rPr>
        <w:t xml:space="preserve">pattern itself</w:t>
      </w:r>
      <w:r>
        <w:t xml:space="preserve"> (dropped, un-dropped, dropped, un-dropped, …) only returns to its starting arrangement every second column, so the smallest rectangular block that tiles the whole fabric by pure straight-line translation alone — the scheme's true repeating tile — is twice as </w:t>
      </w:r>
      <w:r>
        <w:rPr>
          <w:i/>
          <w:iCs/>
        </w:rPr>
        <w:t xml:space="preserve">wide</w:t>
      </w:r>
      <w:r>
        <w:t xml:space="preserve"> as a single visual column, and therefore contains twice as many of the motif's floral elements before the pattern genuinely closes [S5].</w:t>
      </w:r>
    </w:p>
    <w:p>
      <w:r>
        <w:rPr>
          <w:b/>
          <w:bCs/>
        </w:rPr>
        <w:t xml:space="preserve">A note on symmetry, for context (not load-bearing).</w:t>
      </w:r>
      <w:r>
        <w:t xml:space="preserve"> The number of ways </w:t>
      </w:r>
      <w:r>
        <w:rPr>
          <w:i/>
          <w:iCs/>
        </w:rPr>
        <w:t xml:space="preserve">any</w:t>
      </w:r>
      <w:r>
        <w:t xml:space="preserve"> 2-dimensional repeating pattern's own rotational and reflective symmetry can combine with a translational grid is not unlimited — it is a proven, closed classification: every possible periodic 2-D pattern's symmetry falls into exactly </w:t>
      </w:r>
      <w:r>
        <w:rPr>
          <w:b/>
          <w:bCs/>
        </w:rPr>
        <w:t xml:space="preserve">17 "wallpaper groups"</w:t>
      </w:r>
      <w:r>
        <w:t xml:space="preserve"> [S4], first proven in 1891. This license's own configuration count (Challenge 3 D1) is far smaller than 17 — it is not attempting to exhaust the mathematical space, only the specific choices this negotiation covers.</w:t>
      </w:r>
    </w:p>
    <w:p>
      <w:pPr>
        <w:pStyle w:val="Heading2"/>
        <w:spacing w:after="120" w:before="240"/>
      </w:pPr>
      <w:r>
        <w:t xml:space="preserve">Appendix B — Fabric &amp; Press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Thistlebrook's real printable fabric width on its rotary-screen press</w:t>
            </w:r>
          </w:p>
        </w:tc>
        <w:tc>
          <w:tcPr>
            <w:tcW w:type="dxa" w:w="4500"/>
          </w:tcPr>
          <w:p>
            <w:r>
              <w:rPr>
                <w:b/>
                <w:bCs/>
              </w:rPr>
              <w:t xml:space="preserve">54 inches</w:t>
            </w:r>
            <w:r>
              <w:t xml:space="preserve"> [S1]</w:t>
            </w:r>
          </w:p>
        </w:tc>
      </w:tr>
      <w:tr>
        <w:tc>
          <w:tcPr>
            <w:tcW w:type="dxa" w:w="4500"/>
          </w:tcPr>
          <w:p>
            <w:r>
              <w:t xml:space="preserve">Rated print run of one engraved rotary screen/cylinder before it must be re-cut</w:t>
            </w:r>
          </w:p>
        </w:tc>
        <w:tc>
          <w:tcPr>
            <w:tcW w:type="dxa" w:w="4500"/>
          </w:tcPr>
          <w:p>
            <w:r>
              <w:rPr>
                <w:b/>
                <w:bCs/>
              </w:rPr>
              <w:t xml:space="preserve">30,000 meters</w:t>
            </w:r>
            <w:r>
              <w:t xml:space="preserve"> (32,808 yards) [S3] — the conservative end of a published 30,000–50,000 meter range for water-based-paste printing; see Appendix D, MA1</w:t>
            </w:r>
          </w:p>
        </w:tc>
      </w:tr>
    </w:tbl>
    <w:p/>
    <w:p>
      <w:pPr>
        <w:pStyle w:val="Heading2"/>
        <w:spacing w:after="120" w:before="240"/>
      </w:pPr>
      <w:r>
        <w:t xml:space="preserve">Appendix C — Engraving Setup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The Straight Set — one-time engraving/setup cost</w:t>
            </w:r>
          </w:p>
        </w:tc>
        <w:tc>
          <w:tcPr>
            <w:tcW w:type="dxa" w:w="4500"/>
          </w:tcPr>
          <w:p>
            <w:r>
              <w:rPr>
                <w:b/>
                <w:bCs/>
              </w:rPr>
              <w:t xml:space="preserve">$650.00</w:t>
            </w:r>
            <w:r>
              <w:t xml:space="preserve"> — see Appendix D, MA2</w:t>
            </w:r>
          </w:p>
        </w:tc>
      </w:tr>
      <w:tr>
        <w:tc>
          <w:tcPr>
            <w:tcW w:type="dxa" w:w="4500"/>
          </w:tcPr>
          <w:p>
            <w:r>
              <w:t xml:space="preserve">The Half-Drop — one-time engraving/setup cost</w:t>
            </w:r>
          </w:p>
        </w:tc>
        <w:tc>
          <w:tcPr>
            <w:tcW w:type="dxa" w:w="4500"/>
          </w:tcPr>
          <w:p>
            <w:r>
              <w:rPr>
                <w:b/>
                <w:bCs/>
              </w:rPr>
              <w:t xml:space="preserve">$750.00</w:t>
            </w:r>
            <w:r>
              <w:t xml:space="preserve"> — see Appendix D, MA2</w:t>
            </w:r>
          </w:p>
        </w:tc>
      </w:tr>
    </w:tbl>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Which end of the sourced 30,000–50,000 meter screen-life range to use for both schemes</w:t>
            </w:r>
          </w:p>
        </w:tc>
        <w:tc>
          <w:tcPr>
            <w:tcW w:type="dxa" w:w="1800"/>
          </w:tcPr>
          <w:p>
            <w:r>
              <w:rPr>
                <w:b/>
                <w:bCs/>
              </w:rPr>
              <w:t xml:space="preserve">30,000 meters (the low, conservative end)</w:t>
            </w:r>
          </w:p>
        </w:tc>
        <w:tc>
          <w:tcPr>
            <w:tcW w:type="dxa" w:w="1800"/>
          </w:tcPr>
          <w:p>
            <w:r>
              <w:t xml:space="preserve">[S3] states a range, not a single figure, and does not break the range out by pattern type (straight vs. offset); no source ties a specific figure within the range to either scheme specifically. The low end is used so the primary metric is not inflated by an optimistic assumption.</w:t>
            </w:r>
          </w:p>
        </w:tc>
        <w:tc>
          <w:tcPr>
            <w:tcW w:type="dxa" w:w="1800"/>
          </w:tcPr>
          <w:p>
            <w:r>
              <w:t xml:space="preserve">Scales both schemes' total yardage — and therefore both schemes' yards-per-dollar figure — by the same proportion. Because both schemes share the same rated print run in this model, this choice does not change which scheme wins the primary metric or the size of the margin between them; it only changes both absolute figures together.</w:t>
            </w:r>
          </w:p>
        </w:tc>
      </w:tr>
      <w:tr>
        <w:tc>
          <w:tcPr>
            <w:tcW w:type="dxa" w:w="1800"/>
          </w:tcPr>
          <w:p>
            <w:r>
              <w:t xml:space="preserve">MA2</w:t>
            </w:r>
          </w:p>
        </w:tc>
        <w:tc>
          <w:tcPr>
            <w:tcW w:type="dxa" w:w="1800"/>
          </w:tcPr>
          <w:p>
            <w:r>
              <w:t xml:space="preserve">One-time engraving/setup cost, in USD, for each scheme</w:t>
            </w:r>
          </w:p>
        </w:tc>
        <w:tc>
          <w:tcPr>
            <w:tcW w:type="dxa" w:w="1800"/>
          </w:tcPr>
          <w:p>
            <w:r>
              <w:rPr>
                <w:b/>
                <w:bCs/>
              </w:rPr>
              <w:t xml:space="preserve">The Straight Set: $650.00. The Half-Drop: $750.00 (a $100 premium).</w:t>
            </w:r>
          </w:p>
        </w:tc>
        <w:tc>
          <w:tcPr>
            <w:tcW w:type="dxa" w:w="1800"/>
          </w:tcPr>
          <w:p>
            <w:r>
              <w:t xml:space="preserve">No public, dated 2026 price list for rotary-screen engraving could be located (SEE RESEARCH_LOG.md). [S2] is a real, named engraving vendor's own price list, but it is dated 2011 and does not break pricing out by straight-grid vs. offset/half-drop repeat — only by repeat size and color count. The $650/$750 figures are stated scenario values informed by [S2]'s real (if dated) per-screen range, with a modest premium assumed for The Half-Drop on the stated basis that its offset lattice requires tighter cross-column registration during engraving (SEE Background) than a uniform grid.</w:t>
            </w:r>
          </w:p>
        </w:tc>
        <w:tc>
          <w:tcPr>
            <w:tcW w:type="dxa" w:w="1800"/>
          </w:tcPr>
          <w:p>
            <w:r>
              <w:t xml:space="preserve">The case's answer is sensitive to this value — a Hero who argues the registration premium is unrealistically large or small has found the case's real fault line.</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Standard printable width of US home-décor/decorator fabric</w:t>
            </w:r>
          </w:p>
        </w:tc>
        <w:tc>
          <w:tcPr>
            <w:tcW w:type="dxa" w:w="1500"/>
          </w:tcPr>
          <w:p>
            <w:r>
              <w:t xml:space="preserve">54 inches (printed/usable width between selvages)</w:t>
            </w:r>
          </w:p>
        </w:tc>
        <w:tc>
          <w:tcPr>
            <w:tcW w:type="dxa" w:w="1500"/>
          </w:tcPr>
          <w:p>
            <w:r>
              <w:t xml:space="preserve">Indigo &amp; Luxe, </w:t>
            </w:r>
            <w:r>
              <w:rPr>
                <w:i/>
                <w:iCs/>
              </w:rPr>
              <w:t xml:space="preserve">"How Wide Is Drapery (Decorator) Fabric?"</w:t>
            </w:r>
            <w:r>
              <w:t xml:space="preserve"> (</w:t>
            </w:r>
            <w:hyperlink w:history="1" r:id="rIdsj57iqyo2szda8jcfcaak">
              <w:r>
                <w:rPr>
                  <w:rStyle w:val="Hyperlink"/>
                </w:rPr>
                <w:t xml:space="preserve">link</w:t>
              </w:r>
            </w:hyperlink>
            <w:r>
              <w:t xml:space="preserve">) — corroborated by multiple independent home-décor fabric retailers all listing 54" as the standard cut width, e.g. Fabric Warehouse (</w:t>
            </w:r>
            <w:hyperlink w:history="1" r:id="rIdroqllxpz7wytrop7t09yo">
              <w:r>
                <w:rPr>
                  <w:rStyle w:val="Hyperlink"/>
                </w:rPr>
                <w:t xml:space="preserve">link</w:t>
              </w:r>
            </w:hyperlink>
            <w:r>
              <w:t xml:space="preserve">) and Amazon/Waverly (</w:t>
            </w:r>
            <w:hyperlink w:history="1" r:id="rIdtazo323vitddeipciu1v8">
              <w:r>
                <w:rPr>
                  <w:rStyle w:val="Hyperlink"/>
                </w:rPr>
                <w:t xml:space="preserve">link</w:t>
              </w:r>
            </w:hyperlink>
            <w:r>
              <w:t xml:space="preserve">)</w:t>
            </w:r>
          </w:p>
        </w:tc>
        <w:tc>
          <w:tcPr>
            <w:tcW w:type="dxa" w:w="1500"/>
          </w:tcPr>
          <w:p>
            <w:r>
              <w:t xml:space="preserve">2026-08-13</w:t>
            </w:r>
          </w:p>
        </w:tc>
        <w:tc>
          <w:tcPr>
            <w:tcW w:type="dxa" w:w="1500"/>
          </w:tcPr>
          <w:p>
            <w:r>
              <w:t xml:space="preserve">MEDIUM — a design-industry explainer rather than a mill's own technical spec sheet, but the 54" figure is corroborated identically across multiple independent commercial fabric listings, which is this project's Tier-3 corroboration standard</w:t>
            </w:r>
          </w:p>
        </w:tc>
      </w:tr>
      <w:tr>
        <w:tc>
          <w:tcPr>
            <w:tcW w:type="dxa" w:w="1500"/>
          </w:tcPr>
          <w:p>
            <w:r>
              <w:t xml:space="preserve">S2</w:t>
            </w:r>
          </w:p>
        </w:tc>
        <w:tc>
          <w:tcPr>
            <w:tcW w:type="dxa" w:w="1500"/>
          </w:tcPr>
          <w:p>
            <w:r>
              <w:t xml:space="preserve">Rotary-screen engraving price, by repeat size and color count</w:t>
            </w:r>
          </w:p>
        </w:tc>
        <w:tc>
          <w:tcPr>
            <w:tcW w:type="dxa" w:w="1500"/>
          </w:tcPr>
          <w:p>
            <w:r>
              <w:t xml:space="preserve">27"/688mm repeat, single color: $410–$470; price varies by repeat size (25"–36" range shown) and number of colors</w:t>
            </w:r>
          </w:p>
        </w:tc>
        <w:tc>
          <w:tcPr>
            <w:tcW w:type="dxa" w:w="1500"/>
          </w:tcPr>
          <w:p>
            <w:r>
              <w:t xml:space="preserve">Fine Line Engraving, </w:t>
            </w:r>
            <w:r>
              <w:rPr>
                <w:i/>
                <w:iCs/>
              </w:rPr>
              <w:t xml:space="preserve">"Rotary Screen Engraving Prices"</w:t>
            </w:r>
            <w:r>
              <w:t xml:space="preserve"> (</w:t>
            </w:r>
            <w:hyperlink w:history="1" r:id="rIdlbofall3pq5pmo29zuojr">
              <w:r>
                <w:rPr>
                  <w:rStyle w:val="Hyperlink"/>
                </w:rPr>
                <w:t xml:space="preserve">link</w:t>
              </w:r>
            </w:hyperlink>
            <w:r>
              <w:t xml:space="preserve">)</w:t>
            </w:r>
          </w:p>
        </w:tc>
        <w:tc>
          <w:tcPr>
            <w:tcW w:type="dxa" w:w="1500"/>
          </w:tcPr>
          <w:p>
            <w:r>
              <w:t xml:space="preserve">2026-08-13</w:t>
            </w:r>
          </w:p>
        </w:tc>
        <w:tc>
          <w:tcPr>
            <w:tcW w:type="dxa" w:w="1500"/>
          </w:tcPr>
          <w:p>
            <w:r>
              <w:t xml:space="preserve">MEDIUM — a real, named, primary vendor price list with exact dollar figures by repeat size, but the page is dated effective 2011-04-01 (stale, 15 years old as of this case) and does not distinguish straight-grid vs. offset/half-drop pricing; used only as an anchoring reference for Appendix D MA2's stated assumption, not as this case's cost figure directly</w:t>
            </w:r>
          </w:p>
        </w:tc>
      </w:tr>
      <w:tr>
        <w:tc>
          <w:tcPr>
            <w:tcW w:type="dxa" w:w="1500"/>
          </w:tcPr>
          <w:p>
            <w:r>
              <w:t xml:space="preserve">S3</w:t>
            </w:r>
          </w:p>
        </w:tc>
        <w:tc>
          <w:tcPr>
            <w:tcW w:type="dxa" w:w="1500"/>
          </w:tcPr>
          <w:p>
            <w:r>
              <w:t xml:space="preserve">Service life of a rotary printing screen before replacement</w:t>
            </w:r>
          </w:p>
        </w:tc>
        <w:tc>
          <w:tcPr>
            <w:tcW w:type="dxa" w:w="1500"/>
          </w:tcPr>
          <w:p>
            <w:r>
              <w:t xml:space="preserve">30,000–50,000 meters of fabric (water-based printing paste)</w:t>
            </w:r>
          </w:p>
        </w:tc>
        <w:tc>
          <w:tcPr>
            <w:tcW w:type="dxa" w:w="1500"/>
          </w:tcPr>
          <w:p>
            <w:r>
              <w:t xml:space="preserve">HANZE INTL, </w:t>
            </w:r>
            <w:r>
              <w:rPr>
                <w:i/>
                <w:iCs/>
              </w:rPr>
              <w:t xml:space="preserve">"How to Choose the Right Nickel Mesh Screen for Peak Textile Performance"</w:t>
            </w:r>
            <w:r>
              <w:t xml:space="preserve"> (</w:t>
            </w:r>
            <w:hyperlink w:history="1" r:id="rId8mttqy4qzc2ax2wwz5osn">
              <w:r>
                <w:rPr>
                  <w:rStyle w:val="Hyperlink"/>
                </w:rPr>
                <w:t xml:space="preserve">link</w:t>
              </w:r>
            </w:hyperlink>
            <w:r>
              <w:t xml:space="preserve">)</w:t>
            </w:r>
          </w:p>
        </w:tc>
        <w:tc>
          <w:tcPr>
            <w:tcW w:type="dxa" w:w="1500"/>
          </w:tcPr>
          <w:p>
            <w:r>
              <w:t xml:space="preserve">2026-08-13</w:t>
            </w:r>
          </w:p>
        </w:tc>
        <w:tc>
          <w:tcPr>
            <w:tcW w:type="dxa" w:w="1500"/>
          </w:tcPr>
          <w:p>
            <w:r>
              <w:t xml:space="preserve">HIGH — a named rotary-screen manufacturer's own technical FAQ, with a clear figure, clear units, and clear stated conditions (ink chemistry)</w:t>
            </w:r>
          </w:p>
        </w:tc>
      </w:tr>
      <w:tr>
        <w:tc>
          <w:tcPr>
            <w:tcW w:type="dxa" w:w="1500"/>
          </w:tcPr>
          <w:p>
            <w:r>
              <w:t xml:space="preserve">S4</w:t>
            </w:r>
          </w:p>
        </w:tc>
        <w:tc>
          <w:tcPr>
            <w:tcW w:type="dxa" w:w="1500"/>
          </w:tcPr>
          <w:p>
            <w:r>
              <w:t xml:space="preserve">Total number of distinct plane symmetry ("wallpaper") groups classifying all periodic 2-D patterns</w:t>
            </w:r>
          </w:p>
        </w:tc>
        <w:tc>
          <w:tcPr>
            <w:tcW w:type="dxa" w:w="1500"/>
          </w:tcPr>
          <w:p>
            <w:r>
              <w:t xml:space="preserve">17</w:t>
            </w:r>
          </w:p>
        </w:tc>
        <w:tc>
          <w:tcPr>
            <w:tcW w:type="dxa" w:w="1500"/>
          </w:tcPr>
          <w:p>
            <w:r>
              <w:t xml:space="preserve">Wolfram MathWorld, </w:t>
            </w:r>
            <w:r>
              <w:rPr>
                <w:i/>
                <w:iCs/>
              </w:rPr>
              <w:t xml:space="preserve">"Wallpaper Groups"</w:t>
            </w:r>
            <w:r>
              <w:t xml:space="preserve"> (</w:t>
            </w:r>
            <w:hyperlink w:history="1" r:id="rIdyagddeeh974zcahhxx2vr">
              <w:r>
                <w:rPr>
                  <w:rStyle w:val="Hyperlink"/>
                </w:rPr>
                <w:t xml:space="preserve">link</w:t>
              </w:r>
            </w:hyperlink>
            <w:r>
              <w:t xml:space="preserve">)</w:t>
            </w:r>
          </w:p>
        </w:tc>
        <w:tc>
          <w:tcPr>
            <w:tcW w:type="dxa" w:w="1500"/>
          </w:tcPr>
          <w:p>
            <w:r>
              <w:t xml:space="preserve">2026-08-13</w:t>
            </w:r>
          </w:p>
        </w:tc>
        <w:tc>
          <w:tcPr>
            <w:tcW w:type="dxa" w:w="1500"/>
          </w:tcPr>
          <w:p>
            <w:r>
              <w:t xml:space="preserve">HIGH — a canonical, citable mathematics reference stating a proven, non-perishable classification theorem (first established by Fedorov, 1891); not load-bearing in this case's arithmetic, used only as supplemental context in Appendix A</w:t>
            </w:r>
          </w:p>
        </w:tc>
      </w:tr>
      <w:tr>
        <w:tc>
          <w:tcPr>
            <w:tcW w:type="dxa" w:w="1500"/>
          </w:tcPr>
          <w:p>
            <w:r>
              <w:t xml:space="preserve">S5</w:t>
            </w:r>
          </w:p>
        </w:tc>
        <w:tc>
          <w:tcPr>
            <w:tcW w:type="dxa" w:w="1500"/>
          </w:tcPr>
          <w:p>
            <w:r>
              <w:t xml:space="preserve">Construction technique confirming a half-drop repeat's true, fully-tiling rectangular unit is twice the width of one visual column</w:t>
            </w:r>
          </w:p>
        </w:tc>
        <w:tc>
          <w:tcPr>
            <w:tcW w:type="dxa" w:w="1500"/>
          </w:tcPr>
          <w:p>
            <w:r>
              <w:t xml:space="preserve">The working canvas must be resized to twice its original width (e.g. 200px to 400px) before the offset is applied, producing the smallest rectangular tile that repeats seamlessly in both directions</w:t>
            </w:r>
          </w:p>
        </w:tc>
        <w:tc>
          <w:tcPr>
            <w:tcW w:type="dxa" w:w="1500"/>
          </w:tcPr>
          <w:p>
            <w:r>
              <w:t xml:space="preserve">Linda Matthews, </w:t>
            </w:r>
            <w:r>
              <w:rPr>
                <w:i/>
                <w:iCs/>
              </w:rPr>
              <w:t xml:space="preserve">"How to Make a Half Drop Repeat Pattern using Photoshop Elements"</w:t>
            </w:r>
            <w:r>
              <w:t xml:space="preserve"> (</w:t>
            </w:r>
            <w:hyperlink w:history="1" r:id="rIdrnpvndhaphdve6hexod8d">
              <w:r>
                <w:rPr>
                  <w:rStyle w:val="Hyperlink"/>
                </w:rPr>
                <w:t xml:space="preserve">link</w:t>
              </w:r>
            </w:hyperlink>
            <w:r>
              <w:t xml:space="preserve">)</w:t>
            </w:r>
          </w:p>
        </w:tc>
        <w:tc>
          <w:tcPr>
            <w:tcW w:type="dxa" w:w="1500"/>
          </w:tcPr>
          <w:p>
            <w:r>
              <w:t xml:space="preserve">2026-08-13</w:t>
            </w:r>
          </w:p>
        </w:tc>
        <w:tc>
          <w:tcPr>
            <w:tcW w:type="dxa" w:w="1500"/>
          </w:tcPr>
          <w:p>
            <w:r>
              <w:t xml:space="preserve">MEDIUM — a named surface-pattern-design tutorial (not an academic or standards-body source), but the technique described matches the independently verifiable geometry of a centered-rectangular lattice (the standard mathematical description of a half-drop offset), which this case's author cross-checked directly rather than accepting on the tutorial's authority alone</w:t>
            </w:r>
          </w:p>
        </w:tc>
      </w:tr>
    </w:tbl>
    <w:p/>
    <w:p>
      <w:pPr>
        <w:pStyle w:val="Heading2"/>
        <w:spacing w:after="120" w:before="240"/>
      </w:pPr>
      <w:r>
        <w:t xml:space="preserve">Appendix F — Learn More</w:t>
      </w:r>
    </w:p>
    <w:p>
      <w:r>
        <w:t xml:space="preserve">These are real, currently-live resources for students who want to go beyond the case's required math and learn more about the real-world craft, history, and technology of repeat-pattern textile printing. None of these are required reading for the Challenges.</w:t>
      </w:r>
    </w:p>
    <w:p>
      <w:pPr>
        <w:ind w:left="360"/>
      </w:pPr>
      <w:r>
        <w:t xml:space="preserve">- </w:t>
      </w:r>
      <w:hyperlink w:history="1" r:id="rIddhabegxz3xpzuapdl-uxq">
        <w:r>
          <w:rPr>
            <w:rStyle w:val="Hyperlink"/>
          </w:rPr>
          <w:t xml:space="preserve">Roller Printing on Textiles (Wikipedia)</w:t>
        </w:r>
      </w:hyperlink>
      <w:r>
        <w:t xml:space="preserve">   — the real history of engraved-cylinder textile printing, the technology Thistlebrook's   engraving room in this case is built on, from its 1783 invention through multicolor   production.</w:t>
      </w:r>
    </w:p>
    <w:p>
      <w:pPr>
        <w:ind w:left="360"/>
      </w:pPr>
      <w:r>
        <w:t xml:space="preserve">- </w:t>
      </w:r>
      <w:hyperlink w:history="1" r:id="rIdd0vhy-hzlxpnkqp872fte">
        <w:r>
          <w:rPr>
            <w:rStyle w:val="Hyperlink"/>
          </w:rPr>
          <w:t xml:space="preserve">William Morris Textile Designs (Wikipedia)</w:t>
        </w:r>
      </w:hyperlink>
      <w:r>
        <w:t xml:space="preserve">   — the life and printed-textile career of one of the most famous real surface-pattern designers   in history, whose trailing floral repeats are a real-world analog to Priya's vine motif.</w:t>
      </w:r>
    </w:p>
    <w:p>
      <w:pPr>
        <w:ind w:left="360"/>
      </w:pPr>
      <w:r>
        <w:t xml:space="preserve">- </w:t>
      </w:r>
      <w:hyperlink w:history="1" r:id="rIdn4x7gpfzfu9rdmw-p5jdp">
        <w:r>
          <w:rPr>
            <w:rStyle w:val="Hyperlink"/>
          </w:rPr>
          <w:t xml:space="preserve">Wallpaper Group (Wikipedia)</w:t>
        </w:r>
      </w:hyperlink>
      <w:r>
        <w:t xml:space="preserve"> — the mathematical   classification (referenced in Appendix A) of all 17 possible ways a 2-dimensional pattern can   repeat, explained with diagrams and examples.</w:t>
      </w:r>
    </w:p>
    <w:p>
      <w:pPr>
        <w:ind w:left="360"/>
      </w:pPr>
      <w:r>
        <w:t xml:space="preserve">- </w:t>
      </w:r>
      <w:hyperlink w:history="1" r:id="rId-yvwr6g2sioycz7rs3ok0">
        <w:r>
          <w:rPr>
            <w:rStyle w:val="Hyperlink"/>
          </w:rPr>
          <w:t xml:space="preserve">Screen Printing (Wikipedia)</w:t>
        </w:r>
      </w:hyperlink>
      <w:r>
        <w:t xml:space="preserve"> — how mesh-screen   printing works, including the rotary-screen variant used for the kind of high-volume yardage run   Thistlebrook is planning.</w:t>
      </w:r>
    </w:p>
    <w:p>
      <w:pPr>
        <w:pStyle w:val="Heading2"/>
        <w:spacing w:after="120" w:before="240"/>
      </w:pPr>
      <w:r>
        <w:t xml:space="preserve">Appendix G — "How To…" Math Questions To Research</w:t>
      </w:r>
    </w:p>
    <w:p>
      <w:r>
        <w:rPr>
          <w:b/>
          <w:bCs/>
        </w:rPr>
        <w:t xml:space="preserve">Vocabulary terms</w:t>
      </w:r>
    </w:p>
    <w:p>
      <w:pPr>
        <w:ind w:left="360"/>
      </w:pPr>
      <w:r>
        <w:t xml:space="preserve">- Fundamental Counting Principle</w:t>
      </w:r>
    </w:p>
    <w:p>
      <w:pPr>
        <w:ind w:left="360"/>
      </w:pPr>
      <w:r>
        <w:t xml:space="preserve">- Binomial Coefficient</w:t>
      </w:r>
    </w:p>
    <w:p>
      <w:pPr>
        <w:ind w:left="360"/>
      </w:pPr>
      <w:r>
        <w:t xml:space="preserve">- Pigeonhole Principle</w:t>
      </w:r>
    </w:p>
    <w:p>
      <w:r>
        <w:rPr>
          <w:b/>
          <w:bCs/>
        </w:rPr>
        <w:t xml:space="preserve">"How to…" questions</w:t>
      </w:r>
    </w:p>
    <w:p>
      <w:pPr>
        <w:ind w:left="360"/>
      </w:pPr>
      <w:r>
        <w:t xml:space="preserve">- How to apply the Fundamental Counting Principle to count outcomes</w:t>
      </w:r>
    </w:p>
    <w:p>
      <w:pPr>
        <w:ind w:left="360"/>
      </w:pPr>
      <w:r>
        <w:t xml:space="preserve">- How to compute a binomial coefficient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57iqyo2szda8jcfcaak" Type="http://schemas.openxmlformats.org/officeDocument/2006/relationships/hyperlink" Target="https://indigoandluxe.com/how-wide-is-drapery-fabric/" TargetMode="External"/><Relationship Id="rIdroqllxpz7wytrop7t09yo" Type="http://schemas.openxmlformats.org/officeDocument/2006/relationships/hyperlink" Target="https://fabricwarehouse.com/fabric/home-decor-fabric-54-wide-by-the-yard" TargetMode="External"/><Relationship Id="rIdtazo323vitddeipciu1v8" Type="http://schemas.openxmlformats.org/officeDocument/2006/relationships/hyperlink" Target="https://www.amazon.com/Waverly-Premium-Printed-Project-Upholstery/dp/B0H1JRQJHL" TargetMode="External"/><Relationship Id="rIdlbofall3pq5pmo29zuojr" Type="http://schemas.openxmlformats.org/officeDocument/2006/relationships/hyperlink" Target="https://www.finetex.net/screens1.htm" TargetMode="External"/><Relationship Id="rId8mttqy4qzc2ax2wwz5osn" Type="http://schemas.openxmlformats.org/officeDocument/2006/relationships/hyperlink" Target="https://www.hanzeltd.com/how-to-choose-the-right-nickel-mesh-screen.html" TargetMode="External"/><Relationship Id="rIdyagddeeh974zcahhxx2vr" Type="http://schemas.openxmlformats.org/officeDocument/2006/relationships/hyperlink" Target="https://mathworld.wolfram.com/WallpaperGroups.html" TargetMode="External"/><Relationship Id="rIdrnpvndhaphdve6hexod8d" Type="http://schemas.openxmlformats.org/officeDocument/2006/relationships/hyperlink" Target="https://www.linda-matthews.com/how-to-make-a-half-drop-repeat-pattern-using-photoshop-elements/" TargetMode="External"/><Relationship Id="rIddhabegxz3xpzuapdl-uxq" Type="http://schemas.openxmlformats.org/officeDocument/2006/relationships/hyperlink" Target="https://en.wikipedia.org/wiki/Roller_printing_on_textiles" TargetMode="External"/><Relationship Id="rIdd0vhy-hzlxpnkqp872fte" Type="http://schemas.openxmlformats.org/officeDocument/2006/relationships/hyperlink" Target="https://en.wikipedia.org/wiki/William_Morris_textile_designs" TargetMode="External"/><Relationship Id="rIdn4x7gpfzfu9rdmw-p5jdp" Type="http://schemas.openxmlformats.org/officeDocument/2006/relationships/hyperlink" Target="https://en.wikipedia.org/wiki/Wallpaper_group" TargetMode="External"/><Relationship Id="rId-yvwr6g2sioycz7rs3ok0" Type="http://schemas.openxmlformats.org/officeDocument/2006/relationships/hyperlink" Target="https://en.wikipedia.org/wiki/Screen_printin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2026-08-18T07:38:56.586Z</dcterms:created>
  <dcterms:modified xsi:type="dcterms:W3CDTF">2026-08-18T07:38:56.586Z</dcterms:modified>
</cp:coreProperties>
</file>

<file path=docProps/custom.xml><?xml version="1.0" encoding="utf-8"?>
<Properties xmlns="http://schemas.openxmlformats.org/officeDocument/2006/custom-properties" xmlns:vt="http://schemas.openxmlformats.org/officeDocument/2006/docPropsVTypes"/>
</file>