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Facilitator Guide: Payroll</w:t>
      </w:r>
    </w:p>
    <w:p>
      <w:pPr>
        <w:spacing w:after="240"/>
      </w:pPr>
      <w:r>
        <w:rPr>
          <w:b/>
          <w:bCs/>
          <w:color w:val="7A1F1F"/>
          <w:sz w:val="22"/>
          <w:szCs w:val="22"/>
        </w:rPr>
        <w:t xml:space="preserve">FACILITATOR / GUIDE-ONLY — do not distribute to students</w:t>
      </w:r>
    </w:p>
    <w:p>
      <w:pPr>
        <w:pBdr>
          <w:bottom w:val="single" w:color="999999" w:sz="6" w:space="1"/>
        </w:pBdr>
        <w:spacing w:after="240" w:before="120"/>
      </w:pPr>
    </w:p>
    <w:p>
      <w:pPr>
        <w:spacing w:after="160"/>
      </w:pPr>
      <w:r>
        <w:t xml:space="preserve">Case: Payroll  ·  Tier: T2  ·  Band: MS-core  ·  Studio: Heroes Academy</w:t>
      </w:r>
    </w:p>
    <w:p>
      <w:pPr>
        <w:spacing w:after="160"/>
      </w:pPr>
      <w:r>
        <w:t xml:space="preserve">Standards: percent, currency, rounding, multi-digit addition/subtraction, bar graph, pie chart, comparison (13 skills — see case.json standards[])</w:t>
      </w:r>
    </w:p>
    <w:p>
      <w:pPr>
        <w:pBdr>
          <w:top w:val="single" w:color="E0B400" w:sz="6"/>
          <w:bottom w:val="single" w:color="E0B400" w:sz="6"/>
          <w:left w:val="single" w:color="E0B400" w:sz="6"/>
          <w:right w:val="single" w:color="E0B400" w:sz="6"/>
        </w:pBdr>
        <w:shd w:fill="FFF3CD" w:val="clear"/>
        <w:spacing w:after="240" w:before="200"/>
      </w:pPr>
      <w:r>
        <w:rPr>
          <w:b/>
          <w:bCs/>
        </w:rPr>
        <w:t xml:space="preserve">Sensitivity note: </w:t>
      </w:r>
      <w:r>
        <w:t xml:space="preserve">This case touches money stress and family hardship directly (Francesca going without pay, Martha's caregiving crisis, a real possibility of job loss). Keep the frame on the case's own disclosed numbers and each employee's stated circumstances in Appendix A; steer away from personal financial-hardship anecdotes from the room, which can turn a math discussion into something a facilitator isn't equipped to hold.</w:t>
      </w:r>
    </w:p>
    <w:p>
      <w:pPr>
        <w:pStyle w:val="Heading1"/>
        <w:spacing w:after="120" w:before="240"/>
      </w:pPr>
      <w:r>
        <w:t xml:space="preserve">The two arguments and the margin</w:t>
      </w:r>
    </w:p>
    <w:p>
      <w:pPr>
        <w:spacing w:after="160"/>
      </w:pPr>
      <w:r>
        <w:rPr>
          <w:b/>
          <w:bCs/>
        </w:rPr>
        <w:t xml:space="preserve">Argument for A (Operation Clean Break). </w:t>
      </w:r>
      <w:r>
        <w:t xml:space="preserve">Letting go of either Tiago or Irene removes exactly $20,000 from the remaining payroll budget in a single, clean cut — the target is closed exactly, on the first try, with zero risk of a second round of cuts from a rounding error. The other four employees keep 100% of the pay they were counting on. Martha, already stretched thin caring for her niece, would face a second hardship layered onto a family already in crisis if her pay were cut instead.</w:t>
      </w:r>
    </w:p>
    <w:p>
      <w:pPr>
        <w:spacing w:after="160"/>
      </w:pPr>
      <w:r>
        <w:rPr>
          <w:b/>
          <w:bCs/>
        </w:rPr>
        <w:t xml:space="preserve">Argument for B (Operation Shared Weight). </w:t>
      </w:r>
      <w:r>
        <w:t xml:space="preserve">A 17.94% pay cut, applied to all five employees, closes the same $20,000 gap without anyone losing their job, their health insurance, their identity at the company, or their income entirely. It spreads a real hardship five ways instead of concentrating 100% of it onto one person and their household — including Tiago, two months into fatherhood, or Irene, who just signed a year-long lease she can't easily break.</w:t>
      </w:r>
    </w:p>
    <w:p>
      <w:pPr>
        <w:spacing w:after="160"/>
      </w:pPr>
      <w:r>
        <w:rPr>
          <w:b/>
          <w:bCs/>
        </w:rPr>
        <w:t xml:space="preserve">The margin. </w:t>
      </w:r>
      <w:r>
        <w:t xml:space="preserve">Both options close the identical $20,000 target (Clean Break via Tiago or Irene's exact remaining pay; Shared Weight via 17.9372% of the $111,500 pool). </w:t>
      </w:r>
      <w:r>
        <w:rPr>
          <w:b/>
          <w:bCs/>
        </w:rPr>
        <w:t xml:space="preserve">margin_pct = 0.0</w:t>
      </w:r>
      <w:r>
        <w:t xml:space="preserve"> — financially identical by design. The real tension is who bears a $20,000 hit and how concentrated it is: one household absorbing all of it, or five households absorbing a slice each.</w:t>
      </w:r>
    </w:p>
    <w:p>
      <w:pPr>
        <w:pStyle w:val="Heading1"/>
        <w:spacing w:after="120" w:before="240"/>
      </w:pPr>
      <w:r>
        <w:t xml:space="preserve">Worked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2"/>
        <w:gridCol w:w="2042"/>
        <w:gridCol w:w="1872"/>
        <w:gridCol w:w="1872"/>
        <w:gridCol w:w="1872"/>
      </w:tblGrid>
      <w:tr>
        <w:trPr>
          <w:tblHeader/>
        </w:trPr>
        <w:tc>
          <w:tcPr>
            <w:tcW w:type="dxa" w:w="1702"/>
            <w:shd w:fill="7A1F1F" w:val="clear"/>
            <w:tcMar>
              <w:top w:type="dxa" w:w="60"/>
              <w:left w:type="dxa" w:w="100"/>
              <w:bottom w:type="dxa" w:w="60"/>
              <w:right w:type="dxa" w:w="100"/>
            </w:tcMar>
          </w:tcPr>
          <w:p>
            <w:r>
              <w:rPr>
                <w:b/>
                <w:bCs/>
                <w:color w:val="FFFFFF"/>
              </w:rPr>
              <w:t xml:space="preserve">Employee</w:t>
            </w:r>
          </w:p>
        </w:tc>
        <w:tc>
          <w:tcPr>
            <w:tcW w:type="dxa" w:w="2042"/>
            <w:shd w:fill="7A1F1F" w:val="clear"/>
            <w:tcMar>
              <w:top w:type="dxa" w:w="60"/>
              <w:left w:type="dxa" w:w="100"/>
              <w:bottom w:type="dxa" w:w="60"/>
              <w:right w:type="dxa" w:w="100"/>
            </w:tcMar>
          </w:tcPr>
          <w:p>
            <w:r>
              <w:rPr>
                <w:b/>
                <w:bCs/>
                <w:color w:val="FFFFFF"/>
              </w:rPr>
              <w:t xml:space="preserve">H2 2019 pay (before cut)</w:t>
            </w:r>
          </w:p>
        </w:tc>
        <w:tc>
          <w:tcPr>
            <w:tcW w:type="dxa" w:w="1872"/>
            <w:shd w:fill="7A1F1F" w:val="clear"/>
            <w:tcMar>
              <w:top w:type="dxa" w:w="60"/>
              <w:left w:type="dxa" w:w="100"/>
              <w:bottom w:type="dxa" w:w="60"/>
              <w:right w:type="dxa" w:w="100"/>
            </w:tcMar>
          </w:tcPr>
          <w:p>
            <w:r>
              <w:rPr>
                <w:b/>
                <w:bCs/>
                <w:color w:val="FFFFFF"/>
              </w:rPr>
              <w:t xml:space="preserve">Clean Break closes $20k exactly?</w:t>
            </w:r>
          </w:p>
        </w:tc>
        <w:tc>
          <w:tcPr>
            <w:tcW w:type="dxa" w:w="1872"/>
            <w:shd w:fill="7A1F1F" w:val="clear"/>
            <w:tcMar>
              <w:top w:type="dxa" w:w="60"/>
              <w:left w:type="dxa" w:w="100"/>
              <w:bottom w:type="dxa" w:w="60"/>
              <w:right w:type="dxa" w:w="100"/>
            </w:tcMar>
          </w:tcPr>
          <w:p>
            <w:r>
              <w:rPr>
                <w:b/>
                <w:bCs/>
                <w:color w:val="FFFFFF"/>
              </w:rPr>
              <w:t xml:space="preserve">Shared Weight cut (17.9372%)</w:t>
            </w:r>
          </w:p>
        </w:tc>
        <w:tc>
          <w:tcPr>
            <w:tcW w:type="dxa" w:w="1872"/>
            <w:shd w:fill="7A1F1F" w:val="clear"/>
            <w:tcMar>
              <w:top w:type="dxa" w:w="60"/>
              <w:left w:type="dxa" w:w="100"/>
              <w:bottom w:type="dxa" w:w="60"/>
              <w:right w:type="dxa" w:w="100"/>
            </w:tcMar>
          </w:tcPr>
          <w:p>
            <w:r>
              <w:rPr>
                <w:b/>
                <w:bCs/>
                <w:color w:val="FFFFFF"/>
              </w:rPr>
              <w:t xml:space="preserve">Pay after Shared Weight</w:t>
            </w:r>
          </w:p>
        </w:tc>
      </w:tr>
      <w:tr>
        <w:tc>
          <w:tcPr>
            <w:tcW w:type="dxa" w:w="1702"/>
            <w:tcMar>
              <w:top w:type="dxa" w:w="60"/>
              <w:left w:type="dxa" w:w="100"/>
              <w:bottom w:type="dxa" w:w="60"/>
              <w:right w:type="dxa" w:w="100"/>
            </w:tcMar>
          </w:tcPr>
          <w:p>
            <w:r>
              <w:t xml:space="preserve">Martha</w:t>
            </w:r>
          </w:p>
        </w:tc>
        <w:tc>
          <w:tcPr>
            <w:tcW w:type="dxa" w:w="2042"/>
            <w:tcMar>
              <w:top w:type="dxa" w:w="60"/>
              <w:left w:type="dxa" w:w="100"/>
              <w:bottom w:type="dxa" w:w="60"/>
              <w:right w:type="dxa" w:w="100"/>
            </w:tcMar>
          </w:tcPr>
          <w:p>
            <w:r>
              <w:t xml:space="preserve">$22,500</w:t>
            </w:r>
          </w:p>
        </w:tc>
        <w:tc>
          <w:tcPr>
            <w:tcW w:type="dxa" w:w="1872"/>
            <w:tcMar>
              <w:top w:type="dxa" w:w="60"/>
              <w:left w:type="dxa" w:w="100"/>
              <w:bottom w:type="dxa" w:w="60"/>
              <w:right w:type="dxa" w:w="100"/>
            </w:tcMar>
          </w:tcPr>
          <w:p>
            <w:r>
              <w:t xml:space="preserve">No</w:t>
            </w:r>
          </w:p>
        </w:tc>
        <w:tc>
          <w:tcPr>
            <w:tcW w:type="dxa" w:w="1872"/>
            <w:tcMar>
              <w:top w:type="dxa" w:w="60"/>
              <w:left w:type="dxa" w:w="100"/>
              <w:bottom w:type="dxa" w:w="60"/>
              <w:right w:type="dxa" w:w="100"/>
            </w:tcMar>
          </w:tcPr>
          <w:p>
            <w:r>
              <w:t xml:space="preserve">$4,035.87</w:t>
            </w:r>
          </w:p>
        </w:tc>
        <w:tc>
          <w:tcPr>
            <w:tcW w:type="dxa" w:w="1872"/>
            <w:tcMar>
              <w:top w:type="dxa" w:w="60"/>
              <w:left w:type="dxa" w:w="100"/>
              <w:bottom w:type="dxa" w:w="60"/>
              <w:right w:type="dxa" w:w="100"/>
            </w:tcMar>
          </w:tcPr>
          <w:p>
            <w:r>
              <w:t xml:space="preserve">$18,464.13</w:t>
            </w:r>
          </w:p>
        </w:tc>
      </w:tr>
      <w:tr>
        <w:tc>
          <w:tcPr>
            <w:tcW w:type="dxa" w:w="1702"/>
            <w:tcMar>
              <w:top w:type="dxa" w:w="60"/>
              <w:left w:type="dxa" w:w="100"/>
              <w:bottom w:type="dxa" w:w="60"/>
              <w:right w:type="dxa" w:w="100"/>
            </w:tcMar>
          </w:tcPr>
          <w:p>
            <w:r>
              <w:t xml:space="preserve">Paul</w:t>
            </w:r>
          </w:p>
        </w:tc>
        <w:tc>
          <w:tcPr>
            <w:tcW w:type="dxa" w:w="2042"/>
            <w:tcMar>
              <w:top w:type="dxa" w:w="60"/>
              <w:left w:type="dxa" w:w="100"/>
              <w:bottom w:type="dxa" w:w="60"/>
              <w:right w:type="dxa" w:w="100"/>
            </w:tcMar>
          </w:tcPr>
          <w:p>
            <w:r>
              <w:t xml:space="preserve">$21,000</w:t>
            </w:r>
          </w:p>
        </w:tc>
        <w:tc>
          <w:tcPr>
            <w:tcW w:type="dxa" w:w="1872"/>
            <w:tcMar>
              <w:top w:type="dxa" w:w="60"/>
              <w:left w:type="dxa" w:w="100"/>
              <w:bottom w:type="dxa" w:w="60"/>
              <w:right w:type="dxa" w:w="100"/>
            </w:tcMar>
          </w:tcPr>
          <w:p>
            <w:r>
              <w:t xml:space="preserve">No</w:t>
            </w:r>
          </w:p>
        </w:tc>
        <w:tc>
          <w:tcPr>
            <w:tcW w:type="dxa" w:w="1872"/>
            <w:tcMar>
              <w:top w:type="dxa" w:w="60"/>
              <w:left w:type="dxa" w:w="100"/>
              <w:bottom w:type="dxa" w:w="60"/>
              <w:right w:type="dxa" w:w="100"/>
            </w:tcMar>
          </w:tcPr>
          <w:p>
            <w:r>
              <w:t xml:space="preserve">$3,766.82</w:t>
            </w:r>
          </w:p>
        </w:tc>
        <w:tc>
          <w:tcPr>
            <w:tcW w:type="dxa" w:w="1872"/>
            <w:tcMar>
              <w:top w:type="dxa" w:w="60"/>
              <w:left w:type="dxa" w:w="100"/>
              <w:bottom w:type="dxa" w:w="60"/>
              <w:right w:type="dxa" w:w="100"/>
            </w:tcMar>
          </w:tcPr>
          <w:p>
            <w:r>
              <w:t xml:space="preserve">$17,233.18</w:t>
            </w:r>
          </w:p>
        </w:tc>
      </w:tr>
      <w:tr>
        <w:tc>
          <w:tcPr>
            <w:tcW w:type="dxa" w:w="1702"/>
            <w:tcMar>
              <w:top w:type="dxa" w:w="60"/>
              <w:left w:type="dxa" w:w="100"/>
              <w:bottom w:type="dxa" w:w="60"/>
              <w:right w:type="dxa" w:w="100"/>
            </w:tcMar>
          </w:tcPr>
          <w:p>
            <w:r>
              <w:t xml:space="preserve">Christina</w:t>
            </w:r>
          </w:p>
        </w:tc>
        <w:tc>
          <w:tcPr>
            <w:tcW w:type="dxa" w:w="2042"/>
            <w:tcMar>
              <w:top w:type="dxa" w:w="60"/>
              <w:left w:type="dxa" w:w="100"/>
              <w:bottom w:type="dxa" w:w="60"/>
              <w:right w:type="dxa" w:w="100"/>
            </w:tcMar>
          </w:tcPr>
          <w:p>
            <w:r>
              <w:t xml:space="preserve">$28,000</w:t>
            </w:r>
          </w:p>
        </w:tc>
        <w:tc>
          <w:tcPr>
            <w:tcW w:type="dxa" w:w="1872"/>
            <w:tcMar>
              <w:top w:type="dxa" w:w="60"/>
              <w:left w:type="dxa" w:w="100"/>
              <w:bottom w:type="dxa" w:w="60"/>
              <w:right w:type="dxa" w:w="100"/>
            </w:tcMar>
          </w:tcPr>
          <w:p>
            <w:r>
              <w:t xml:space="preserve">No</w:t>
            </w:r>
          </w:p>
        </w:tc>
        <w:tc>
          <w:tcPr>
            <w:tcW w:type="dxa" w:w="1872"/>
            <w:tcMar>
              <w:top w:type="dxa" w:w="60"/>
              <w:left w:type="dxa" w:w="100"/>
              <w:bottom w:type="dxa" w:w="60"/>
              <w:right w:type="dxa" w:w="100"/>
            </w:tcMar>
          </w:tcPr>
          <w:p>
            <w:r>
              <w:t xml:space="preserve">$5,022.42</w:t>
            </w:r>
          </w:p>
        </w:tc>
        <w:tc>
          <w:tcPr>
            <w:tcW w:type="dxa" w:w="1872"/>
            <w:tcMar>
              <w:top w:type="dxa" w:w="60"/>
              <w:left w:type="dxa" w:w="100"/>
              <w:bottom w:type="dxa" w:w="60"/>
              <w:right w:type="dxa" w:w="100"/>
            </w:tcMar>
          </w:tcPr>
          <w:p>
            <w:r>
              <w:t xml:space="preserve">$22,977.58</w:t>
            </w:r>
          </w:p>
        </w:tc>
      </w:tr>
      <w:tr>
        <w:tc>
          <w:tcPr>
            <w:tcW w:type="dxa" w:w="1702"/>
            <w:tcMar>
              <w:top w:type="dxa" w:w="60"/>
              <w:left w:type="dxa" w:w="100"/>
              <w:bottom w:type="dxa" w:w="60"/>
              <w:right w:type="dxa" w:w="100"/>
            </w:tcMar>
          </w:tcPr>
          <w:p>
            <w:r>
              <w:t xml:space="preserve">Tiago</w:t>
            </w:r>
          </w:p>
        </w:tc>
        <w:tc>
          <w:tcPr>
            <w:tcW w:type="dxa" w:w="2042"/>
            <w:tcMar>
              <w:top w:type="dxa" w:w="60"/>
              <w:left w:type="dxa" w:w="100"/>
              <w:bottom w:type="dxa" w:w="60"/>
              <w:right w:type="dxa" w:w="100"/>
            </w:tcMar>
          </w:tcPr>
          <w:p>
            <w:r>
              <w:t xml:space="preserve">$20,000</w:t>
            </w:r>
          </w:p>
        </w:tc>
        <w:tc>
          <w:tcPr>
            <w:tcW w:type="dxa" w:w="1872"/>
            <w:tcMar>
              <w:top w:type="dxa" w:w="60"/>
              <w:left w:type="dxa" w:w="100"/>
              <w:bottom w:type="dxa" w:w="60"/>
              <w:right w:type="dxa" w:w="100"/>
            </w:tcMar>
          </w:tcPr>
          <w:p>
            <w:r>
              <w:t xml:space="preserve">Yes</w:t>
            </w:r>
          </w:p>
        </w:tc>
        <w:tc>
          <w:tcPr>
            <w:tcW w:type="dxa" w:w="1872"/>
            <w:tcMar>
              <w:top w:type="dxa" w:w="60"/>
              <w:left w:type="dxa" w:w="100"/>
              <w:bottom w:type="dxa" w:w="60"/>
              <w:right w:type="dxa" w:w="100"/>
            </w:tcMar>
          </w:tcPr>
          <w:p>
            <w:r>
              <w:t xml:space="preserve">$3,587.44</w:t>
            </w:r>
          </w:p>
        </w:tc>
        <w:tc>
          <w:tcPr>
            <w:tcW w:type="dxa" w:w="1872"/>
            <w:tcMar>
              <w:top w:type="dxa" w:w="60"/>
              <w:left w:type="dxa" w:w="100"/>
              <w:bottom w:type="dxa" w:w="60"/>
              <w:right w:type="dxa" w:w="100"/>
            </w:tcMar>
          </w:tcPr>
          <w:p>
            <w:r>
              <w:t xml:space="preserve">$16,412.56</w:t>
            </w:r>
          </w:p>
        </w:tc>
      </w:tr>
      <w:tr>
        <w:tc>
          <w:tcPr>
            <w:tcW w:type="dxa" w:w="1702"/>
            <w:tcMar>
              <w:top w:type="dxa" w:w="60"/>
              <w:left w:type="dxa" w:w="100"/>
              <w:bottom w:type="dxa" w:w="60"/>
              <w:right w:type="dxa" w:w="100"/>
            </w:tcMar>
          </w:tcPr>
          <w:p>
            <w:r>
              <w:t xml:space="preserve">Irene</w:t>
            </w:r>
          </w:p>
        </w:tc>
        <w:tc>
          <w:tcPr>
            <w:tcW w:type="dxa" w:w="2042"/>
            <w:tcMar>
              <w:top w:type="dxa" w:w="60"/>
              <w:left w:type="dxa" w:w="100"/>
              <w:bottom w:type="dxa" w:w="60"/>
              <w:right w:type="dxa" w:w="100"/>
            </w:tcMar>
          </w:tcPr>
          <w:p>
            <w:r>
              <w:t xml:space="preserve">$20,000</w:t>
            </w:r>
          </w:p>
        </w:tc>
        <w:tc>
          <w:tcPr>
            <w:tcW w:type="dxa" w:w="1872"/>
            <w:tcMar>
              <w:top w:type="dxa" w:w="60"/>
              <w:left w:type="dxa" w:w="100"/>
              <w:bottom w:type="dxa" w:w="60"/>
              <w:right w:type="dxa" w:w="100"/>
            </w:tcMar>
          </w:tcPr>
          <w:p>
            <w:r>
              <w:t xml:space="preserve">Yes</w:t>
            </w:r>
          </w:p>
        </w:tc>
        <w:tc>
          <w:tcPr>
            <w:tcW w:type="dxa" w:w="1872"/>
            <w:tcMar>
              <w:top w:type="dxa" w:w="60"/>
              <w:left w:type="dxa" w:w="100"/>
              <w:bottom w:type="dxa" w:w="60"/>
              <w:right w:type="dxa" w:w="100"/>
            </w:tcMar>
          </w:tcPr>
          <w:p>
            <w:r>
              <w:t xml:space="preserve">$3,587.44</w:t>
            </w:r>
          </w:p>
        </w:tc>
        <w:tc>
          <w:tcPr>
            <w:tcW w:type="dxa" w:w="1872"/>
            <w:tcMar>
              <w:top w:type="dxa" w:w="60"/>
              <w:left w:type="dxa" w:w="100"/>
              <w:bottom w:type="dxa" w:w="60"/>
              <w:right w:type="dxa" w:w="100"/>
            </w:tcMar>
          </w:tcPr>
          <w:p>
            <w:r>
              <w:t xml:space="preserve">$16,412.56</w:t>
            </w:r>
          </w:p>
        </w:tc>
      </w:tr>
    </w:tbl>
    <w:p>
      <w:pPr>
        <w:spacing w:after="160"/>
      </w:pPr>
      <w:r>
        <w:rPr>
          <w:i/>
          <w:iCs/>
          <w:color w:val="555555"/>
          <w:sz w:val="20"/>
          <w:szCs w:val="20"/>
        </w:rPr>
        <w:t xml:space="preserve">Sum of Shared Weight cuts = $20,000.00 exactly. Pool = $111,500 (Francesca's $11,500 excluded per MA2).</w:t>
      </w:r>
    </w:p>
    <w:p>
      <w:pPr>
        <w:pStyle w:val="Heading1"/>
        <w:spacing w:after="120" w:before="240"/>
      </w:pPr>
      <w:r>
        <w:t xml:space="preserve">The five Socratic questions</w:t>
      </w:r>
    </w:p>
    <w:p>
      <w:pPr>
        <w:pStyle w:val="ListParagraph"/>
        <w:numPr>
          <w:ilvl w:val="0"/>
          <w:numId w:val="1"/>
        </w:numPr>
        <w:spacing w:after="80"/>
      </w:pPr>
      <w:r>
        <w:t xml:space="preserve">Both options remove exactly $20,000 from the budget — so if the dollars are identical, what actual number or fact is doing the work in your recommendation?</w:t>
      </w:r>
    </w:p>
    <w:p>
      <w:pPr>
        <w:pStyle w:val="ListParagraph"/>
        <w:numPr>
          <w:ilvl w:val="0"/>
          <w:numId w:val="1"/>
        </w:numPr>
        <w:spacing w:after="80"/>
      </w:pPr>
      <w:r>
        <w:t xml:space="preserve">If you picked Operation Clean Break, does your chosen employee's remaining pay close the $20,000 gap exactly, or did you have to explain an over- or under-shoot, and by how much?</w:t>
      </w:r>
    </w:p>
    <w:p>
      <w:pPr>
        <w:pStyle w:val="ListParagraph"/>
        <w:numPr>
          <w:ilvl w:val="0"/>
          <w:numId w:val="1"/>
        </w:numPr>
        <w:spacing w:after="80"/>
      </w:pPr>
      <w:r>
        <w:t xml:space="preserve">Operation Shared Weight cuts every employee's pay by the same percent, not the same dollar amount — why does that distinction matter to someone earning $20,000 in H2 versus someone earning $28,000?</w:t>
      </w:r>
    </w:p>
    <w:p>
      <w:pPr>
        <w:pStyle w:val="ListParagraph"/>
        <w:numPr>
          <w:ilvl w:val="0"/>
          <w:numId w:val="1"/>
        </w:numPr>
        <w:spacing w:after="80"/>
      </w:pPr>
      <w:r>
        <w:t xml:space="preserve">Now that you know about the customer relationship risk tied to Irene, does the math actually favor letting her go less than it first appeared — and by how much, in dollars?</w:t>
      </w:r>
    </w:p>
    <w:p>
      <w:pPr>
        <w:pStyle w:val="ListParagraph"/>
        <w:numPr>
          <w:ilvl w:val="0"/>
          <w:numId w:val="1"/>
        </w:numPr>
        <w:spacing w:after="80"/>
      </w:pPr>
      <w:r>
        <w:t xml:space="preserve">Martha is already missing days of work to care for her niece — does a 17.94% pay cut protect her more than losing her job would, or does it just create a second, smaller crisis on top of the first one she's already living through?</w:t>
      </w:r>
    </w:p>
    <w:p>
      <w:pPr>
        <w:pStyle w:val="Heading1"/>
        <w:spacing w:after="120" w:before="240"/>
      </w:pPr>
      <w:r>
        <w:t xml:space="preserve">The trap</w:t>
      </w:r>
    </w:p>
    <w:p>
      <w:pPr>
        <w:spacing w:after="160"/>
      </w:pPr>
      <w:r>
        <w:t xml:space="preserve">A Hero computes Option B's percent cut using the wrong base (all six people, or one employee's pay alone, instead of the $111,500 five-employee pool) and either overshoots or undershoots the $20,000 target without noticing — or a Hero picks Option A by tenure or "who's newest" alone, without ever checking whether that person's remaining pay actually closes $20,000 at all (only Tiago and Irene's do; every other single-employee cut over- or under-shoots the target, which the case never tells a Hero directly — they have to check it themselves in D3).</w:t>
      </w:r>
    </w:p>
    <w:p>
      <w:pPr>
        <w:pStyle w:val="Heading1"/>
        <w:spacing w:after="120" w:before="240"/>
      </w:pPr>
      <w:r>
        <w:t xml:space="preserve">The Twist (deliver at ~15 minutes)</w:t>
      </w:r>
    </w:p>
    <w:p>
      <w:pPr>
        <w:spacing w:after="160"/>
      </w:pPr>
      <w:r>
        <w:t xml:space="preserve">Francesca's phone rings. It's Grampoline's largest customer — a regional chain of senior-living communities — calling to say how thrilled they are with Irene's latest social media posts, which drove a wave of new signups at their newest location. "I had no idea Irene was this good," the customer says. "Honestly, she's a big part of why we keep coming back to Grampoline instead of the bigger guys."</w:t>
      </w:r>
    </w:p>
    <w:p>
      <w:pPr>
        <w:spacing w:after="160"/>
      </w:pPr>
      <w:r>
        <w:rPr>
          <w:b/>
          <w:bCs/>
        </w:rPr>
        <w:t xml:space="preserve">Disclosed scenario assumption (MA3, not a real sourced figure): </w:t>
      </w:r>
      <w:r>
        <w:t xml:space="preserve">assume this customer's account represents 15% of Grampoline's 2019 H1 revenue ($127,000 × 15% = $19,050), and that losing Irene puts that account at real risk of leaving within the following year.</w:t>
      </w:r>
    </w:p>
    <w:p>
      <w:pPr>
        <w:spacing w:after="160"/>
      </w:pPr>
      <w:r>
        <w:t xml:space="preserve">If a Hero has picked Operation Clean Break and specifically chosen to let Irene go, ask them to recompute: the $20,000 payroll saved this year is nearly wiped out by $19,050 of revenue put at risk next year — a net benefit of only $950, not $20,000 (95.25% of the "savings" disappears). This does not make Operation Clean Break wrong (Tiago is untouched by this twist, and still closes the gap cleanly), and it does not make Operation Shared Weight automatically right (it still cuts five real paychecks). It invalidates exactly one popular reasoning path — "let go of the newest, least-tenured employee" — without resolving the case.</w:t>
      </w:r>
    </w:p>
    <w:p>
      <w:pPr>
        <w:spacing w:after="160"/>
      </w:pPr>
      <w:r>
        <w:rPr>
          <w:i/>
          <w:iCs/>
        </w:rPr>
        <w:t xml:space="preserve">Ask: "Does this change your position — or does it just mean if you pick Operation Clean Break, you pick Tiago instead of Irene?"</w:t>
      </w:r>
    </w:p>
    <w:p>
      <w:pPr>
        <w:pStyle w:val="Heading1"/>
        <w:spacing w:after="120" w:before="240"/>
      </w:pPr>
      <w:r>
        <w:t xml:space="preserve">45-minute Socratic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shd w:fill="7A1F1F" w:val="clear"/>
            <w:tcMar>
              <w:top w:type="dxa" w:w="60"/>
              <w:left w:type="dxa" w:w="100"/>
              <w:bottom w:type="dxa" w:w="60"/>
              <w:right w:type="dxa" w:w="100"/>
            </w:tcMar>
          </w:tcPr>
          <w:p>
            <w:r>
              <w:rPr>
                <w:b/>
                <w:bCs/>
                <w:color w:val="FFFFFF"/>
              </w:rPr>
              <w:t xml:space="preserve">Time</w:t>
            </w:r>
          </w:p>
        </w:tc>
        <w:tc>
          <w:tcPr>
            <w:tcW w:type="dxa" w:w="7020"/>
            <w:shd w:fill="7A1F1F" w:val="clear"/>
            <w:tcMar>
              <w:top w:type="dxa" w:w="60"/>
              <w:left w:type="dxa" w:w="100"/>
              <w:bottom w:type="dxa" w:w="60"/>
              <w:right w:type="dxa" w:w="100"/>
            </w:tcMar>
          </w:tcPr>
          <w:p>
            <w:r>
              <w:rPr>
                <w:b/>
                <w:bCs/>
                <w:color w:val="FFFFFF"/>
              </w:rPr>
              <w:t xml:space="preserve">Move</w:t>
            </w:r>
          </w:p>
        </w:tc>
      </w:tr>
      <w:tr>
        <w:tc>
          <w:tcPr>
            <w:tcW w:type="dxa" w:w="2340"/>
            <w:tcMar>
              <w:top w:type="dxa" w:w="60"/>
              <w:left w:type="dxa" w:w="100"/>
              <w:bottom w:type="dxa" w:w="60"/>
              <w:right w:type="dxa" w:w="100"/>
            </w:tcMar>
          </w:tcPr>
          <w:p>
            <w:r>
              <w:t xml:space="preserve">0:00–3:00</w:t>
            </w:r>
          </w:p>
        </w:tc>
        <w:tc>
          <w:tcPr>
            <w:tcW w:type="dxa" w:w="7020"/>
            <w:tcMar>
              <w:top w:type="dxa" w:w="60"/>
              <w:left w:type="dxa" w:w="100"/>
              <w:bottom w:type="dxa" w:w="60"/>
              <w:right w:type="dxa" w:w="100"/>
            </w:tcMar>
          </w:tcPr>
          <w:p>
            <w:r>
              <w:t xml:space="preserve">Launch — read Appendix A's bios aloud, cold-call a gut guess, no dollar figures yet</w:t>
            </w:r>
          </w:p>
        </w:tc>
      </w:tr>
      <w:tr>
        <w:tc>
          <w:tcPr>
            <w:tcW w:type="dxa" w:w="2340"/>
            <w:tcMar>
              <w:top w:type="dxa" w:w="60"/>
              <w:left w:type="dxa" w:w="100"/>
              <w:bottom w:type="dxa" w:w="60"/>
              <w:right w:type="dxa" w:w="100"/>
            </w:tcMar>
          </w:tcPr>
          <w:p>
            <w:r>
              <w:t xml:space="preserve">3:00–10:00</w:t>
            </w:r>
          </w:p>
        </w:tc>
        <w:tc>
          <w:tcPr>
            <w:tcW w:type="dxa" w:w="7020"/>
            <w:tcMar>
              <w:top w:type="dxa" w:w="60"/>
              <w:left w:type="dxa" w:w="100"/>
              <w:bottom w:type="dxa" w:w="60"/>
              <w:right w:type="dxa" w:w="100"/>
            </w:tcMar>
          </w:tcPr>
          <w:p>
            <w:r>
              <w:t xml:space="preserve">Position defense — "Convince us your option is right for Grampoline's team specifically, not just 'it closes the gap'"</w:t>
            </w:r>
          </w:p>
        </w:tc>
      </w:tr>
      <w:tr>
        <w:tc>
          <w:tcPr>
            <w:tcW w:type="dxa" w:w="2340"/>
            <w:tcMar>
              <w:top w:type="dxa" w:w="60"/>
              <w:left w:type="dxa" w:w="100"/>
              <w:bottom w:type="dxa" w:w="60"/>
              <w:right w:type="dxa" w:w="100"/>
            </w:tcMar>
          </w:tcPr>
          <w:p>
            <w:r>
              <w:t xml:space="preserve">10:00–15:00</w:t>
            </w:r>
          </w:p>
        </w:tc>
        <w:tc>
          <w:tcPr>
            <w:tcW w:type="dxa" w:w="7020"/>
            <w:tcMar>
              <w:top w:type="dxa" w:w="60"/>
              <w:left w:type="dxa" w:w="100"/>
              <w:bottom w:type="dxa" w:w="60"/>
              <w:right w:type="dxa" w:w="100"/>
            </w:tcMar>
          </w:tcPr>
          <w:p>
            <w:r>
              <w:t xml:space="preserve">Pressure-test the models — "Which factor is actually deciding your vote — the dollars, or who it lands on?"</w:t>
            </w:r>
          </w:p>
        </w:tc>
      </w:tr>
      <w:tr>
        <w:tc>
          <w:tcPr>
            <w:tcW w:type="dxa" w:w="2340"/>
            <w:tcMar>
              <w:top w:type="dxa" w:w="60"/>
              <w:left w:type="dxa" w:w="100"/>
              <w:bottom w:type="dxa" w:w="60"/>
              <w:right w:type="dxa" w:w="100"/>
            </w:tcMar>
          </w:tcPr>
          <w:p>
            <w:r>
              <w:t xml:space="preserve">15:00</w:t>
            </w:r>
          </w:p>
        </w:tc>
        <w:tc>
          <w:tcPr>
            <w:tcW w:type="dxa" w:w="7020"/>
            <w:tcMar>
              <w:top w:type="dxa" w:w="60"/>
              <w:left w:type="dxa" w:w="100"/>
              <w:bottom w:type="dxa" w:w="60"/>
              <w:right w:type="dxa" w:w="100"/>
            </w:tcMar>
          </w:tcPr>
          <w:p>
            <w:r>
              <w:t xml:space="preserve">DROP THE TWIST — the customer's call, delivered slowly</w:t>
            </w:r>
          </w:p>
        </w:tc>
      </w:tr>
      <w:tr>
        <w:tc>
          <w:tcPr>
            <w:tcW w:type="dxa" w:w="2340"/>
            <w:tcMar>
              <w:top w:type="dxa" w:w="60"/>
              <w:left w:type="dxa" w:w="100"/>
              <w:bottom w:type="dxa" w:w="60"/>
              <w:right w:type="dxa" w:w="100"/>
            </w:tcMar>
          </w:tcPr>
          <w:p>
            <w:r>
              <w:t xml:space="preserve">15:00–20:00</w:t>
            </w:r>
          </w:p>
        </w:tc>
        <w:tc>
          <w:tcPr>
            <w:tcW w:type="dxa" w:w="7020"/>
            <w:tcMar>
              <w:top w:type="dxa" w:w="60"/>
              <w:left w:type="dxa" w:w="100"/>
              <w:bottom w:type="dxa" w:w="60"/>
              <w:right w:type="dxa" w:w="100"/>
            </w:tcMar>
          </w:tcPr>
          <w:p>
            <w:r>
              <w:t xml:space="preserve">Immediate recommit — did the twist change anyone's answer, or just their target</w:t>
            </w:r>
          </w:p>
        </w:tc>
      </w:tr>
      <w:tr>
        <w:tc>
          <w:tcPr>
            <w:tcW w:type="dxa" w:w="2340"/>
            <w:tcMar>
              <w:top w:type="dxa" w:w="60"/>
              <w:left w:type="dxa" w:w="100"/>
              <w:bottom w:type="dxa" w:w="60"/>
              <w:right w:type="dxa" w:w="100"/>
            </w:tcMar>
          </w:tcPr>
          <w:p>
            <w:r>
              <w:t xml:space="preserve">20:00–30:00</w:t>
            </w:r>
          </w:p>
        </w:tc>
        <w:tc>
          <w:tcPr>
            <w:tcW w:type="dxa" w:w="7020"/>
            <w:tcMar>
              <w:top w:type="dxa" w:w="60"/>
              <w:left w:type="dxa" w:w="100"/>
              <w:bottom w:type="dxa" w:w="60"/>
              <w:right w:type="dxa" w:w="100"/>
            </w:tcMar>
          </w:tcPr>
          <w:p>
            <w:r>
              <w:t xml:space="preserve">Threaded deep conflict (concentrated vs. distributed pain; who gets picked and why; what "fair" means here)</w:t>
            </w:r>
          </w:p>
        </w:tc>
      </w:tr>
      <w:tr>
        <w:tc>
          <w:tcPr>
            <w:tcW w:type="dxa" w:w="2340"/>
            <w:tcMar>
              <w:top w:type="dxa" w:w="60"/>
              <w:left w:type="dxa" w:w="100"/>
              <w:bottom w:type="dxa" w:w="60"/>
              <w:right w:type="dxa" w:w="100"/>
            </w:tcMar>
          </w:tcPr>
          <w:p>
            <w:r>
              <w:t xml:space="preserve">30:00–45:00</w:t>
            </w:r>
          </w:p>
        </w:tc>
        <w:tc>
          <w:tcPr>
            <w:tcW w:type="dxa" w:w="7020"/>
            <w:tcMar>
              <w:top w:type="dxa" w:w="60"/>
              <w:left w:type="dxa" w:w="100"/>
              <w:bottom w:type="dxa" w:w="60"/>
              <w:right w:type="dxa" w:w="100"/>
            </w:tcMar>
          </w:tcPr>
          <w:p>
            <w:r>
              <w:t xml:space="preserve">Close, re-vote, reflection, lessons learned</w:t>
            </w:r>
          </w:p>
        </w:tc>
      </w:tr>
    </w:tbl>
    <w:p>
      <w:pPr>
        <w:pStyle w:val="Heading1"/>
        <w:spacing w:after="120" w:before="240"/>
      </w:pPr>
      <w:r>
        <w:t xml:space="preserve">What a strong defense sounds like</w:t>
      </w:r>
    </w:p>
    <w:p>
      <w:pPr>
        <w:spacing w:after="160"/>
      </w:pPr>
      <w:r>
        <w:t xml:space="preserve">A strong defense names the actual dollar figure driving the choice — not just "it feels fairer" — and can show its work: which base the percent was computed against, or which employee's exact remaining pay was checked against the $20,000 target. It also engages honestly with the twist rather than dismissing it: a Hero who still picks Irene after the twist should be able to say what non-financial factor outweighs the $19,050 revenue risk, not simply ignore the recompute. There is no single right answer here — the strongest work treats concentrated-vs-distributed hardship as a real values tradeoff, not a math error to be resolved.</w:t>
      </w:r>
    </w:p>
    <w:p>
      <w:pPr>
        <w:pStyle w:val="Heading1"/>
        <w:spacing w:after="120" w:before="240"/>
      </w:pPr>
      <w:r>
        <w:t xml:space="preserve">Skills this case exercises</w:t>
      </w:r>
    </w:p>
    <w:p>
      <w:pPr>
        <w:spacing w:after="160"/>
      </w:pPr>
      <w:r>
        <w:t xml:space="preserve">Bar Graph · Data · Percent · Rounding · Currency · Pie Chart · How to compare two or more values · How to add multi-digit numbers · How to subtract multi-digit numbers · How to convert numbers to percents · How to find the percent of a number · How to round a number to a specified place value · How to create a pie chart given a set of data</w:t>
      </w:r>
    </w:p>
    <w:p>
      <w:pPr>
        <w:pStyle w:val="Heading1"/>
        <w:spacing w:after="120" w:before="240"/>
      </w:pPr>
      <w:r>
        <w:t xml:space="preserve">Lessons learned (preserved from the original 2020 Guide Notes)</w:t>
      </w:r>
    </w:p>
    <w:p>
      <w:pPr>
        <w:pStyle w:val="ListParagraph"/>
        <w:numPr>
          <w:ilvl w:val="0"/>
          <w:numId w:val="1"/>
        </w:numPr>
        <w:spacing w:after="80"/>
      </w:pPr>
      <w:r>
        <w:t xml:space="preserve">Whether Heroes checked that their chosen Clean-Break employee's remaining pay actually closes $20,000 (only Tiago/Irene do exactly), or assumed any single firing works.</w:t>
      </w:r>
    </w:p>
    <w:p>
      <w:pPr>
        <w:pStyle w:val="ListParagraph"/>
        <w:numPr>
          <w:ilvl w:val="0"/>
          <w:numId w:val="1"/>
        </w:numPr>
        <w:spacing w:after="80"/>
      </w:pPr>
      <w:r>
        <w:t xml:space="preserve">Whether Heroes computed Option B's percent on the correct $111,500 base (five employees only) or mistakenly included Francesca's own remaining pay.</w:t>
      </w:r>
    </w:p>
    <w:p>
      <w:pPr>
        <w:pStyle w:val="ListParagraph"/>
        <w:numPr>
          <w:ilvl w:val="0"/>
          <w:numId w:val="1"/>
        </w:numPr>
        <w:spacing w:after="80"/>
      </w:pPr>
      <w:r>
        <w:t xml:space="preserve">Whether the Twist's $19,050 revenue-risk figure changed anyone's chosen employee, or just prompted a values discussion about whether that risk should matter at all.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2026-08-18T07:10:26.391Z</dcterms:created>
  <dcterms:modified xsi:type="dcterms:W3CDTF">2026-08-18T07:10:26.394Z</dcterms:modified>
</cp:coreProperties>
</file>

<file path=docProps/custom.xml><?xml version="1.0" encoding="utf-8"?>
<Properties xmlns="http://schemas.openxmlformats.org/officeDocument/2006/custom-properties" xmlns:vt="http://schemas.openxmlformats.org/officeDocument/2006/docPropsVTypes"/>
</file>