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Plaza Pavers</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Priya Nakamura is alone in the small conference room at Cascadia Hardscape Design &amp; Build, and the bid portal closes at five. Her boss handed her this one on purpose — "your name on it, your call" — and she still isn't sure if that was a vote of confidence or a test. Two site plans are taped to the whiteboard, one over the other, and she keeps peeling back the top sheet to look at the one underneath. The city's arts commission wants the plaza's original historic pavement pattern back. A rival firm has already filed a bid built on the cheapest thing that could possibly go down flat and fast, and word came back through a contact on the commission that it undercut the published target by enough to make everyone nervous. Priya's laptop shows two spreadsheets, side by side, neither one finished. Her phone buzzes face-down on the desk — her boss, probably, asking if it's done. She picks up a dry-erase marker, caps it, sets it down again. Somewhere on one of these two sheets is the number that decides whether Cascadia wins this plaza or loses it to the firm that didn't bother matching the history.</w:t>
      </w:r>
    </w:p>
    <w:p>
      <w:pPr>
        <w:pStyle w:val="Heading2"/>
        <w:spacing w:after="120" w:before="240"/>
      </w:pPr>
      <w:r>
        <w:t xml:space="preserve">Background</w:t>
      </w:r>
    </w:p>
    <w:p>
      <w:r>
        <w:t xml:space="preserve">Priya Nakamura is the senior designer of record on Cascadia Hardscape Design &amp; Build's bid for the restoration of Kessler Plaza, a public gathering space the city is repaving as part of a downtown streetscape project. She has full authority to set the technical design of the bid; the firm's owner has final sign-off but told her he wants her recommendation, not his.</w:t>
      </w:r>
    </w:p>
    <w:p>
      <w:r>
        <w:t xml:space="preserve">The city's arts commission has published a target cost of </w:t>
      </w:r>
      <w:r>
        <w:rPr>
          <w:b/>
          <w:bCs/>
        </w:rPr>
        <w:t xml:space="preserve">$18.50 per square foot</w:t>
      </w:r>
      <w:r>
        <w:t xml:space="preserve"> for the finished installation, weighted heavily in how bids are scored — not an automatic disqualifier, but a bid that misses it has to defend why in the narrative (SEE APPENDIX D, APPENDIX G MA3). A competing firm has already submitted a bid using a single-shape hexagon paver laid edge to edge, which the commission's own pre-bid materials flagged as underpricing the historic-match criterion the commission has also stated it wants (SEE APPENDIX E).</w:t>
      </w:r>
    </w:p>
    <w:p>
      <w:r>
        <w:t xml:space="preserve">Kessler Plaza's paved area measures </w:t>
      </w:r>
      <w:r>
        <w:rPr>
          <w:b/>
          <w:bCs/>
        </w:rPr>
        <w:t xml:space="preserve">200 ft × 150 ft</w:t>
      </w:r>
      <w:r>
        <w:t xml:space="preserve"> (SEE APPENDIX C, APPENDIX G MA2). Two paver systems are under real consideration for Cascadia's bid:</w:t>
      </w:r>
    </w:p>
    <w:p>
      <w:r>
        <w:rPr>
          <w:b/>
          <w:bCs/>
        </w:rPr>
        <w:t xml:space="preserve">The Hex Grid</w:t>
      </w:r>
      <w:r>
        <w:t xml:space="preserve"> — a single regular-hexagon paver laid edge to edge across the full plaza, the same system the rival firm bid. Because a regular hexagon's interior angles are exactly the right measure to close all the way around a point with no gap, this pattern needs almost no interior cutting — only the plaza's straight rectangular border forces any cut pavers at all (SEE APPENDIX B).</w:t>
      </w:r>
    </w:p>
    <w:p>
      <w:r>
        <w:rPr>
          <w:b/>
          <w:bCs/>
        </w:rPr>
        <w:t xml:space="preserve">The Weave Pattern</w:t>
      </w:r>
      <w:r>
        <w:t xml:space="preserve"> — a combination of one regular-octagon paver and one square paver, matching the plaza's original 1962 pavement as documented in the city's historic-preservation archive (SEE APPENDIX E). This pattern uses two paver SKUs and needs a mitred cut at every straight border edge the pattern crosses, which is real labor and real material waste (SEE APPENDIX B, APPENDIX D).</w:t>
      </w:r>
    </w:p>
    <w:p>
      <w:r>
        <w:t xml:space="preserve">Before settling on either shape, Cascadia's design team keeps a standing reference of every regular polygon it has considered and rejected for single-shape paving over the years, along with two tessellating quadrilaterals — a rhombus paver and a kite paver — that were rejected for reasons other than geometry (SEE APPENDIX A). Priya must justify in her bid narrative why only these two options survived to the final round.</w:t>
      </w:r>
    </w:p>
    <w:p>
      <w:r>
        <w:t xml:space="preserve">Every dollar of the winning bid's cost lives in three places: the material cost of the pavers themselves, the labor cost of cutting pavers to fit the border, and the waste cost of pavers ruined or discarded in cutting (SEE APPENDIX D). The commission's target cost applies to the total of all three, per square foot of finished plaza — not to materials alone. All figures in this case are sourced in APPENDIX F, or stated as explicit modeling assumptions in APPENDIX G where no public figure exists. The vocabulary and the "how to…" skills this case will ask of you are listed in APPENDIX H — that is where Challenge 1 sends you.</w:t>
      </w:r>
    </w:p>
    <w:p>
      <w:pPr>
        <w:pStyle w:val="Heading2"/>
        <w:spacing w:after="120" w:before="240"/>
      </w:pPr>
      <w:r>
        <w:t xml:space="preserve">Dilemma</w:t>
      </w:r>
    </w:p>
    <w:p>
      <w:r>
        <w:t xml:space="preserve">You are Priya Nakamura.</w:t>
      </w:r>
    </w:p>
    <w:p>
      <w:r>
        <w:t xml:space="preserve">Do you:</w:t>
      </w:r>
    </w:p>
    <w:p>
      <w:r>
        <w:t xml:space="preserve">A.) Bid The Hex Grid — the single hexagon paver, laid edge to edge, that already beat the commission's target cost in a rival's bid OR</w:t>
      </w:r>
    </w:p>
    <w:p>
      <w:r>
        <w:t xml:space="preserve">B.) Bid The Weave Pattern — the octagon-and-square combination that matches the plaza's documented historic pavement</w:t>
      </w:r>
    </w:p>
    <w:p>
      <w:pPr>
        <w:pStyle w:val="Heading2"/>
        <w:spacing w:after="120" w:before="240"/>
      </w:pPr>
      <w:r>
        <w:t xml:space="preserve">Challenges</w:t>
      </w:r>
    </w:p>
    <w:p>
      <w:r>
        <w:t xml:space="preserve">1.) Research and find an online resource that answers one of the "how to…" questions from the</w:t>
      </w:r>
    </w:p>
    <w:p>
      <w:r>
        <w:t xml:space="preserve">case study launch. Post a link to the resource as your submission.</w:t>
      </w:r>
    </w:p>
    <w:p>
      <w:r>
        <w:t xml:space="preserve">2.) Post 250 or more "excellent" words pitching a firm stance to your audience on which you</w:t>
      </w:r>
    </w:p>
    <w:p>
      <w:r>
        <w:t xml:space="preserve">would choose and why. Your pitch must include:</w:t>
      </w:r>
    </w:p>
    <w:p>
      <w:r>
        <w:t xml:space="preserve">    a.) Use of the "how to…" resource you researched in Challenge 1.</w:t>
      </w:r>
    </w:p>
    <w:p>
      <w:r>
        <w:t xml:space="preserve">    b.) At least one original visual display of the data.</w:t>
      </w:r>
    </w:p>
    <w:p>
      <w:r>
        <w:t xml:space="preserve">3.) Your pitch must include:</w:t>
      </w:r>
    </w:p>
    <w:p>
      <w:r>
        <w:t xml:space="preserve">    D1. A "Ruled Out" polygon reference table: for every regular polygon from pentagon through</w:t>
      </w:r>
    </w:p>
    <w:p>
      <w:r>
        <w:t xml:space="preserve">    dodecagon (and the general rule for a regular n-gon), calculate the interior angle measure</w:t>
      </w:r>
    </w:p>
    <w:p>
      <w:r>
        <w:t xml:space="preserve">    and state whether that shape can tile a flat surface alone with no gaps around a point —</w:t>
      </w:r>
    </w:p>
    <w:p>
      <w:r>
        <w:t xml:space="preserve">    and explain why only the triangle, square, and hexagon actually pass that test. Include a</w:t>
      </w:r>
    </w:p>
    <w:p>
      <w:r>
        <w:t xml:space="preserve">    short note on the rhombus and kite pavers Cascadia also keeps on file: both of these</w:t>
      </w:r>
    </w:p>
    <w:p>
      <w:r>
        <w:t xml:space="preserve">    genuinely do tile the plane, and your table must explain why they were rejected for a</w:t>
      </w:r>
    </w:p>
    <w:p>
      <w:r>
        <w:t xml:space="preserve">    different reason than the rest.</w:t>
      </w:r>
    </w:p>
    <w:p>
      <w:r>
        <w:t xml:space="preserve">    D2. A labeled coordinate-plane diagram showing how one repeating unit of each option's</w:t>
      </w:r>
    </w:p>
    <w:p>
      <w:r>
        <w:t xml:space="preserve">    pattern is built from a single starting paver tile using translation, reflection, and/or a</w:t>
      </w:r>
    </w:p>
    <w:p>
      <w:r>
        <w:t xml:space="preserve">    90-degree rotation — stating the direction (clockwise or counter-clockwise) for every</w:t>
      </w:r>
    </w:p>
    <w:p>
      <w:r>
        <w:t xml:space="preserve">    rotation you use — with every line of symmetry in the finished unit marked.</w:t>
      </w:r>
    </w:p>
    <w:p>
      <w:r>
        <w:t xml:space="preserve">    D3. A border-cut worksheet: at the plaza's straight border, where each option's pattern</w:t>
      </w:r>
    </w:p>
    <w:p>
      <w:r>
        <w:t xml:space="preserve">    gets cut, find the missing interior angle of at least one irregular cut piece using the</w:t>
      </w:r>
    </w:p>
    <w:p>
      <w:r>
        <w:t xml:space="preserve">    interior-angle-sum theorem, and label one pair of vertical angles and one pair of</w:t>
      </w:r>
    </w:p>
    <w:p>
      <w:r>
        <w:t xml:space="preserve">    supplementary angles formed where two cut edges cross the border line.</w:t>
      </w:r>
    </w:p>
    <w:p>
      <w:r>
        <w:t xml:space="preserve">    D4. A grid-modulus calculation: using the greatest common factor of the plaza's length and</w:t>
      </w:r>
    </w:p>
    <w:p>
      <w:r>
        <w:t xml:space="preserve">    width (in inches) and each option's paver module size, find the largest identical cut-guide</w:t>
      </w:r>
    </w:p>
    <w:p>
      <w:r>
        <w:t xml:space="preserve">    jig size that works along both border directions with no partial-inch remainder, for both</w:t>
      </w:r>
    </w:p>
    <w:p>
      <w:r>
        <w:t xml:space="preserve">    options.</w:t>
      </w:r>
    </w:p>
    <w:p>
      <w:r>
        <w:t xml:space="preserve">    D5. A total installed-cost-per-square-foot table for Option A vs. Option B — materials,</w:t>
      </w:r>
    </w:p>
    <w:p>
      <w:r>
        <w:t xml:space="preserve">    cutting labor, and waste, each shown separately and then totaled — with your final</w:t>
      </w:r>
    </w:p>
    <w:p>
      <w:r>
        <w:t xml:space="preserve">    recommendation against the commission's published target cost.</w:t>
      </w:r>
    </w:p>
    <w:p>
      <w:r>
        <w:t xml:space="preserve">4.) An appendix showing evidence of your original thinking, work, calculations and processes you</w:t>
      </w:r>
    </w:p>
    <w:p>
      <w:r>
        <w:t xml:space="preserve">used to complete the challenges (pictures, screenshots, notes, etc.). Your work in the appendix</w:t>
      </w:r>
    </w:p>
    <w:p>
      <w:r>
        <w:t xml:space="preserve">does not count toward your word count.</w:t>
      </w:r>
    </w:p>
    <w:p>
      <w:r>
        <w:t xml:space="preserve">5.) Participate twice or more in the Case Study discussion. *If you are absent the day of a</w:t>
      </w:r>
    </w:p>
    <w:p>
      <w:r>
        <w:t xml:space="preserve">discussion post 500 "excellent" words on the questions above.</w:t>
      </w:r>
    </w:p>
    <w:p>
      <w:pPr>
        <w:pStyle w:val="Heading2"/>
        <w:spacing w:after="120" w:before="240"/>
      </w:pPr>
      <w:r>
        <w:t xml:space="preserve">Appendix A — Cascadia's Rejected-Shape Reference</w:t>
      </w:r>
    </w:p>
    <w:p>
      <w:r>
        <w:t xml:space="preserve">Regular polygons Cascadia's design team has considered for single-shape paving, with the general</w:t>
      </w:r>
    </w:p>
    <w:p>
      <w:r>
        <w:t xml:space="preserve">rule for a regular n-gon's interior angle included for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Shape</w:t>
            </w:r>
          </w:p>
        </w:tc>
        <w:tc>
          <w:tcPr>
            <w:tcW w:type="dxa" w:w="1800"/>
            <w:shd w:fill="DDDDDD" w:val="clear"/>
          </w:tcPr>
          <w:p>
            <w:r>
              <w:t xml:space="preserve">Sides (n)</w:t>
            </w:r>
          </w:p>
        </w:tc>
        <w:tc>
          <w:tcPr>
            <w:tcW w:type="dxa" w:w="1800"/>
            <w:shd w:fill="DDDDDD" w:val="clear"/>
          </w:tcPr>
          <w:p>
            <w:r>
              <w:t xml:space="preserve">Interior angle formula</w:t>
            </w:r>
          </w:p>
        </w:tc>
        <w:tc>
          <w:tcPr>
            <w:tcW w:type="dxa" w:w="1800"/>
            <w:shd w:fill="DDDDDD" w:val="clear"/>
          </w:tcPr>
          <w:p>
            <w:r>
              <w:t xml:space="preserve">Interior angle (deg)</w:t>
            </w:r>
          </w:p>
        </w:tc>
        <w:tc>
          <w:tcPr>
            <w:tcW w:type="dxa" w:w="1800"/>
            <w:shd w:fill="DDDDDD" w:val="clear"/>
          </w:tcPr>
          <w:p>
            <w:r>
              <w:t xml:space="preserve">Tiles alone with no gap?</w:t>
            </w:r>
          </w:p>
        </w:tc>
      </w:tr>
      <w:tr>
        <w:tc>
          <w:tcPr>
            <w:tcW w:type="dxa" w:w="1800"/>
          </w:tcPr>
          <w:p>
            <w:r>
              <w:t xml:space="preserve">Pentagon</w:t>
            </w:r>
          </w:p>
        </w:tc>
        <w:tc>
          <w:tcPr>
            <w:tcW w:type="dxa" w:w="1800"/>
          </w:tcPr>
          <w:p>
            <w:r>
              <w:t xml:space="preserve">5</w:t>
            </w:r>
          </w:p>
        </w:tc>
        <w:tc>
          <w:tcPr>
            <w:tcW w:type="dxa" w:w="1800"/>
          </w:tcPr>
          <w:p>
            <w:r>
              <w:t xml:space="preserve">(n-2) × 180 / n</w:t>
            </w:r>
          </w:p>
        </w:tc>
        <w:tc>
          <w:tcPr>
            <w:tcW w:type="dxa" w:w="1800"/>
          </w:tcPr>
          <w:p>
            <w:r>
              <w:rPr>
                <w:i/>
                <w:iCs/>
              </w:rPr>
              <w:t xml:space="preserve">(a Hero computes this)</w:t>
            </w:r>
          </w:p>
        </w:tc>
        <w:tc>
          <w:tcPr>
            <w:tcW w:type="dxa" w:w="1800"/>
          </w:tcPr>
          <w:p>
            <w:r>
              <w:t xml:space="preserve">?</w:t>
            </w:r>
          </w:p>
        </w:tc>
      </w:tr>
      <w:tr>
        <w:tc>
          <w:tcPr>
            <w:tcW w:type="dxa" w:w="1800"/>
          </w:tcPr>
          <w:p>
            <w:r>
              <w:t xml:space="preserve">Hexagon</w:t>
            </w:r>
          </w:p>
        </w:tc>
        <w:tc>
          <w:tcPr>
            <w:tcW w:type="dxa" w:w="1800"/>
          </w:tcPr>
          <w:p>
            <w:r>
              <w:t xml:space="preserve">6</w:t>
            </w:r>
          </w:p>
        </w:tc>
        <w:tc>
          <w:tcPr>
            <w:tcW w:type="dxa" w:w="1800"/>
          </w:tcPr>
          <w:p>
            <w:r>
              <w:t xml:space="preserve">(n-2) × 180 / n</w:t>
            </w:r>
          </w:p>
        </w:tc>
        <w:tc>
          <w:tcPr>
            <w:tcW w:type="dxa" w:w="1800"/>
          </w:tcPr>
          <w:p>
            <w:r>
              <w:rPr>
                <w:i/>
                <w:iCs/>
              </w:rPr>
              <w:t xml:space="preserve">(a Hero computes this)</w:t>
            </w:r>
          </w:p>
        </w:tc>
        <w:tc>
          <w:tcPr>
            <w:tcW w:type="dxa" w:w="1800"/>
          </w:tcPr>
          <w:p>
            <w:r>
              <w:t xml:space="preserve">?</w:t>
            </w:r>
          </w:p>
        </w:tc>
      </w:tr>
      <w:tr>
        <w:tc>
          <w:tcPr>
            <w:tcW w:type="dxa" w:w="1800"/>
          </w:tcPr>
          <w:p>
            <w:r>
              <w:t xml:space="preserve">Heptagon</w:t>
            </w:r>
          </w:p>
        </w:tc>
        <w:tc>
          <w:tcPr>
            <w:tcW w:type="dxa" w:w="1800"/>
          </w:tcPr>
          <w:p>
            <w:r>
              <w:t xml:space="preserve">7</w:t>
            </w:r>
          </w:p>
        </w:tc>
        <w:tc>
          <w:tcPr>
            <w:tcW w:type="dxa" w:w="1800"/>
          </w:tcPr>
          <w:p>
            <w:r>
              <w:t xml:space="preserve">(n-2) × 180 / n</w:t>
            </w:r>
          </w:p>
        </w:tc>
        <w:tc>
          <w:tcPr>
            <w:tcW w:type="dxa" w:w="1800"/>
          </w:tcPr>
          <w:p>
            <w:r>
              <w:rPr>
                <w:i/>
                <w:iCs/>
              </w:rPr>
              <w:t xml:space="preserve">(a Hero computes this)</w:t>
            </w:r>
          </w:p>
        </w:tc>
        <w:tc>
          <w:tcPr>
            <w:tcW w:type="dxa" w:w="1800"/>
          </w:tcPr>
          <w:p>
            <w:r>
              <w:t xml:space="preserve">?</w:t>
            </w:r>
          </w:p>
        </w:tc>
      </w:tr>
      <w:tr>
        <w:tc>
          <w:tcPr>
            <w:tcW w:type="dxa" w:w="1800"/>
          </w:tcPr>
          <w:p>
            <w:r>
              <w:t xml:space="preserve">Octagon</w:t>
            </w:r>
          </w:p>
        </w:tc>
        <w:tc>
          <w:tcPr>
            <w:tcW w:type="dxa" w:w="1800"/>
          </w:tcPr>
          <w:p>
            <w:r>
              <w:t xml:space="preserve">8</w:t>
            </w:r>
          </w:p>
        </w:tc>
        <w:tc>
          <w:tcPr>
            <w:tcW w:type="dxa" w:w="1800"/>
          </w:tcPr>
          <w:p>
            <w:r>
              <w:t xml:space="preserve">(n-2) × 180 / n</w:t>
            </w:r>
          </w:p>
        </w:tc>
        <w:tc>
          <w:tcPr>
            <w:tcW w:type="dxa" w:w="1800"/>
          </w:tcPr>
          <w:p>
            <w:r>
              <w:rPr>
                <w:i/>
                <w:iCs/>
              </w:rPr>
              <w:t xml:space="preserve">(a Hero computes this)</w:t>
            </w:r>
          </w:p>
        </w:tc>
        <w:tc>
          <w:tcPr>
            <w:tcW w:type="dxa" w:w="1800"/>
          </w:tcPr>
          <w:p>
            <w:r>
              <w:t xml:space="preserve">?</w:t>
            </w:r>
          </w:p>
        </w:tc>
      </w:tr>
      <w:tr>
        <w:tc>
          <w:tcPr>
            <w:tcW w:type="dxa" w:w="1800"/>
          </w:tcPr>
          <w:p>
            <w:r>
              <w:t xml:space="preserve">Nonagon</w:t>
            </w:r>
          </w:p>
        </w:tc>
        <w:tc>
          <w:tcPr>
            <w:tcW w:type="dxa" w:w="1800"/>
          </w:tcPr>
          <w:p>
            <w:r>
              <w:t xml:space="preserve">9</w:t>
            </w:r>
          </w:p>
        </w:tc>
        <w:tc>
          <w:tcPr>
            <w:tcW w:type="dxa" w:w="1800"/>
          </w:tcPr>
          <w:p>
            <w:r>
              <w:t xml:space="preserve">(n-2) × 180 / n</w:t>
            </w:r>
          </w:p>
        </w:tc>
        <w:tc>
          <w:tcPr>
            <w:tcW w:type="dxa" w:w="1800"/>
          </w:tcPr>
          <w:p>
            <w:r>
              <w:rPr>
                <w:i/>
                <w:iCs/>
              </w:rPr>
              <w:t xml:space="preserve">(a Hero computes this)</w:t>
            </w:r>
          </w:p>
        </w:tc>
        <w:tc>
          <w:tcPr>
            <w:tcW w:type="dxa" w:w="1800"/>
          </w:tcPr>
          <w:p>
            <w:r>
              <w:t xml:space="preserve">?</w:t>
            </w:r>
          </w:p>
        </w:tc>
      </w:tr>
      <w:tr>
        <w:tc>
          <w:tcPr>
            <w:tcW w:type="dxa" w:w="1800"/>
          </w:tcPr>
          <w:p>
            <w:r>
              <w:t xml:space="preserve">Decagon</w:t>
            </w:r>
          </w:p>
        </w:tc>
        <w:tc>
          <w:tcPr>
            <w:tcW w:type="dxa" w:w="1800"/>
          </w:tcPr>
          <w:p>
            <w:r>
              <w:t xml:space="preserve">10</w:t>
            </w:r>
          </w:p>
        </w:tc>
        <w:tc>
          <w:tcPr>
            <w:tcW w:type="dxa" w:w="1800"/>
          </w:tcPr>
          <w:p>
            <w:r>
              <w:t xml:space="preserve">(n-2) × 180 / n</w:t>
            </w:r>
          </w:p>
        </w:tc>
        <w:tc>
          <w:tcPr>
            <w:tcW w:type="dxa" w:w="1800"/>
          </w:tcPr>
          <w:p>
            <w:r>
              <w:rPr>
                <w:i/>
                <w:iCs/>
              </w:rPr>
              <w:t xml:space="preserve">(a Hero computes this)</w:t>
            </w:r>
          </w:p>
        </w:tc>
        <w:tc>
          <w:tcPr>
            <w:tcW w:type="dxa" w:w="1800"/>
          </w:tcPr>
          <w:p>
            <w:r>
              <w:t xml:space="preserve">?</w:t>
            </w:r>
          </w:p>
        </w:tc>
      </w:tr>
      <w:tr>
        <w:tc>
          <w:tcPr>
            <w:tcW w:type="dxa" w:w="1800"/>
          </w:tcPr>
          <w:p>
            <w:r>
              <w:t xml:space="preserve">Dodecagon</w:t>
            </w:r>
          </w:p>
        </w:tc>
        <w:tc>
          <w:tcPr>
            <w:tcW w:type="dxa" w:w="1800"/>
          </w:tcPr>
          <w:p>
            <w:r>
              <w:t xml:space="preserve">12</w:t>
            </w:r>
          </w:p>
        </w:tc>
        <w:tc>
          <w:tcPr>
            <w:tcW w:type="dxa" w:w="1800"/>
          </w:tcPr>
          <w:p>
            <w:r>
              <w:t xml:space="preserve">(n-2) × 180 / n</w:t>
            </w:r>
          </w:p>
        </w:tc>
        <w:tc>
          <w:tcPr>
            <w:tcW w:type="dxa" w:w="1800"/>
          </w:tcPr>
          <w:p>
            <w:r>
              <w:rPr>
                <w:i/>
                <w:iCs/>
              </w:rPr>
              <w:t xml:space="preserve">(a Hero computes this)</w:t>
            </w:r>
          </w:p>
        </w:tc>
        <w:tc>
          <w:tcPr>
            <w:tcW w:type="dxa" w:w="1800"/>
          </w:tcPr>
          <w:p>
            <w:r>
              <w:t xml:space="preserve">?</w:t>
            </w:r>
          </w:p>
        </w:tc>
      </w:tr>
    </w:tbl>
    <w:p/>
    <w:p>
      <w:r>
        <w:t xml:space="preserve">*(Interior angles are pure arithmetic from the formula in column 3 — this case does not publish</w:t>
      </w:r>
    </w:p>
    <w:p>
      <w:r>
        <w:t xml:space="preserve">the answer column; a Hero fills it in as part of D1.)*</w:t>
      </w:r>
    </w:p>
    <w:p>
      <w:r>
        <w:t xml:space="preserve">Also on file: a </w:t>
      </w:r>
      <w:r>
        <w:rPr>
          <w:b/>
          <w:bCs/>
        </w:rPr>
        <w:t xml:space="preserve">rhombus</w:t>
      </w:r>
      <w:r>
        <w:t xml:space="preserve"> paver and a </w:t>
      </w:r>
      <w:r>
        <w:rPr>
          <w:b/>
          <w:bCs/>
        </w:rPr>
        <w:t xml:space="preserve">kite</w:t>
      </w:r>
      <w:r>
        <w:t xml:space="preserve"> paver, both real tessellating quadrilaterals.</w:t>
      </w:r>
    </w:p>
    <w:p>
      <w:r>
        <w:t xml:space="preserve">Cascadia's estimator rejected both in an earlier bid cycle for a non-geometric reason: their acute</w:t>
      </w:r>
    </w:p>
    <w:p>
      <w:r>
        <w:t xml:space="preserve">corners (well under 90°) chip and spall under foot traffic and snowplow blades far more often than</w:t>
      </w:r>
    </w:p>
    <w:p>
      <w:r>
        <w:t xml:space="preserve">the field pavers' obtuse or right-angle corners do, driving up the plaza's long-run maintenance</w:t>
      </w:r>
    </w:p>
    <w:p>
      <w:r>
        <w:t xml:space="preserve">cost even though both shapes tile perfectly on paper.</w:t>
      </w:r>
    </w:p>
    <w:p>
      <w:r>
        <w:rPr>
          <w:b/>
          <w:bCs/>
        </w:rPr>
        <w:t xml:space="preserve">Border condition.</w:t>
      </w:r>
      <w:r>
        <w:t xml:space="preserve"> Where either pattern's field meets Kessler Plaza's straight rectangular</w:t>
      </w:r>
    </w:p>
    <w:p>
      <w:r>
        <w:t xml:space="preserve">border, a custom-cut piece closes the last gap. On the piece Cascadia's crew has already</w:t>
      </w:r>
    </w:p>
    <w:p>
      <w:r>
        <w:t xml:space="preserve">mocked up for this bid, four of its five interior angles are fixed by the neighboring field</w:t>
      </w:r>
    </w:p>
    <w:p>
      <w:r>
        <w:t xml:space="preserve">pavers it must fit against — 90°, 90°, 112°, and 146° — and the stonecutter needs the fifth angle</w:t>
      </w:r>
    </w:p>
    <w:p>
      <w:r>
        <w:t xml:space="preserve">to program the cut. Where this piece's cut edge crosses the plaza's straight border line, it also</w:t>
      </w:r>
    </w:p>
    <w:p>
      <w:r>
        <w:t xml:space="preserve">creates two pairs of angles worth checking before anything is cut: one pair sits directly across</w:t>
      </w:r>
    </w:p>
    <w:p>
      <w:r>
        <w:t xml:space="preserve">from each other at the crossing point, and one pair sits along the same straight border line,</w:t>
      </w:r>
    </w:p>
    <w:p>
      <w:r>
        <w:t xml:space="preserve">together.</w:t>
      </w:r>
    </w:p>
    <w:p>
      <w:pPr>
        <w:pStyle w:val="Heading2"/>
        <w:spacing w:after="120" w:before="240"/>
      </w:pPr>
      <w:r>
        <w:t xml:space="preserve">Appendix B — Paver Spec Sheets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 Hex Grid paver</w:t>
            </w:r>
          </w:p>
        </w:tc>
        <w:tc>
          <w:tcPr>
            <w:tcW w:type="dxa" w:w="3000"/>
            <w:shd w:fill="DDDDDD" w:val="clear"/>
          </w:tcPr>
          <w:p>
            <w:r>
              <w:t xml:space="preserve">Option B: Weave Pattern paver set</w:t>
            </w:r>
          </w:p>
        </w:tc>
      </w:tr>
      <w:tr>
        <w:tc>
          <w:tcPr>
            <w:tcW w:type="dxa" w:w="3000"/>
          </w:tcPr>
          <w:p>
            <w:r>
              <w:t xml:space="preserve">Shape(s)</w:t>
            </w:r>
          </w:p>
        </w:tc>
        <w:tc>
          <w:tcPr>
            <w:tcW w:type="dxa" w:w="3000"/>
          </w:tcPr>
          <w:p>
            <w:r>
              <w:t xml:space="preserve">Regular hexagon</w:t>
            </w:r>
          </w:p>
        </w:tc>
        <w:tc>
          <w:tcPr>
            <w:tcW w:type="dxa" w:w="3000"/>
          </w:tcPr>
          <w:p>
            <w:r>
              <w:t xml:space="preserve">Regular octagon + square</w:t>
            </w:r>
          </w:p>
        </w:tc>
      </w:tr>
      <w:tr>
        <w:tc>
          <w:tcPr>
            <w:tcW w:type="dxa" w:w="3000"/>
          </w:tcPr>
          <w:p>
            <w:r>
              <w:t xml:space="preserve">Module size (across flats, in)</w:t>
            </w:r>
          </w:p>
        </w:tc>
        <w:tc>
          <w:tcPr>
            <w:tcW w:type="dxa" w:w="3000"/>
          </w:tcPr>
          <w:p>
            <w:r>
              <w:t xml:space="preserve">10.25 in [S1]</w:t>
            </w:r>
          </w:p>
        </w:tc>
        <w:tc>
          <w:tcPr>
            <w:tcW w:type="dxa" w:w="3000"/>
          </w:tcPr>
          <w:p>
            <w:r>
              <w:t xml:space="preserve">Octagon: 15⅞ in · Square: 6 9/16 in [S3, S4]</w:t>
            </w:r>
          </w:p>
        </w:tc>
      </w:tr>
      <w:tr>
        <w:tc>
          <w:tcPr>
            <w:tcW w:type="dxa" w:w="3000"/>
          </w:tcPr>
          <w:p>
            <w:r>
              <w:t xml:space="preserve">Pavers per sq ft (uncut field)</w:t>
            </w:r>
          </w:p>
        </w:tc>
        <w:tc>
          <w:tcPr>
            <w:tcW w:type="dxa" w:w="3000"/>
          </w:tcPr>
          <w:p>
            <w:r>
              <w:rPr>
                <w:i/>
                <w:iCs/>
              </w:rPr>
              <w:t xml:space="preserve">(a Hero computes this from the module size — used for D4 only)</w:t>
            </w:r>
          </w:p>
        </w:tc>
        <w:tc>
          <w:tcPr>
            <w:tcW w:type="dxa" w:w="3000"/>
          </w:tcPr>
          <w:p>
            <w:r>
              <w:rPr>
                <w:i/>
                <w:iCs/>
              </w:rPr>
              <w:t xml:space="preserve">(a Hero computes this — one octagon and one square repeat together as a single tiling unit — used for D4 only)</w:t>
            </w:r>
          </w:p>
        </w:tc>
      </w:tr>
    </w:tbl>
    <w:p/>
    <w:p>
      <w:r>
        <w:t xml:space="preserve">Module sizes above are for </w:t>
      </w:r>
      <w:r>
        <w:rPr>
          <w:b/>
          <w:bCs/>
        </w:rPr>
        <w:t xml:space="preserve">D4's grid-modulus (GCF) calculation only.</w:t>
      </w:r>
      <w:r>
        <w:t xml:space="preserve"> Neither manufacturer</w:t>
      </w:r>
    </w:p>
    <w:p>
      <w:r>
        <w:t xml:space="preserve">(Super Arbor, Hanover) publishes a bulk contractor price for these products — the per-piece prices</w:t>
      </w:r>
    </w:p>
    <w:p>
      <w:r>
        <w:t xml:space="preserve">on their small-pallet retail listings run well above real contractor-scale material rates and are</w:t>
      </w:r>
    </w:p>
    <w:p>
      <w:r>
        <w:t xml:space="preserve">not used for </w:t>
      </w:r>
      <w:r>
        <w:rPr>
          <w:b/>
          <w:bCs/>
        </w:rPr>
        <w:t xml:space="preserve">D5's dollar math</w:t>
      </w:r>
      <w:r>
        <w:t xml:space="preserve">, which draws instead on Appendix D's real contractor-market</w:t>
      </w:r>
    </w:p>
    <w:p>
      <w:r>
        <w:t xml:space="preserve">range (SEE APPENDIX D, APPENDIX F S7).</w:t>
      </w:r>
    </w:p>
    <w:p>
      <w:pPr>
        <w:pStyle w:val="Heading2"/>
        <w:spacing w:after="120" w:before="240"/>
      </w:pPr>
      <w:r>
        <w:t xml:space="preserve">Appendix C — Kessler Plaza Site Plan</w:t>
      </w:r>
    </w:p>
    <w:p>
      <w:pPr>
        <w:ind w:left="360"/>
      </w:pPr>
      <w:r>
        <w:t xml:space="preserve">- Paved footprint (length × width, ft): 200 ft × 150 ft — SEE APPENDIX G, MA2</w:t>
      </w:r>
    </w:p>
    <w:p>
      <w:pPr>
        <w:ind w:left="360"/>
      </w:pPr>
      <w:r>
        <w:t xml:space="preserve">- Border shape: rectangular, straight edges on all four sides</w:t>
      </w:r>
    </w:p>
    <w:p>
      <w:pPr>
        <w:ind w:left="360"/>
      </w:pPr>
      <w:r>
        <w:t xml:space="preserve">- (SEE APPENDIX A for shapes under consideration, APPENDIX B for paver dimensions)</w:t>
      </w:r>
    </w:p>
    <w:p>
      <w:pPr>
        <w:pStyle w:val="Heading2"/>
        <w:spacing w:after="120" w:before="240"/>
      </w:pPr>
      <w:r>
        <w:t xml:space="preserve">Appendix D — Installed-Cost Benchmarks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Simple single-shape pattern (Option A)</w:t>
            </w:r>
          </w:p>
        </w:tc>
        <w:tc>
          <w:tcPr>
            <w:tcW w:type="dxa" w:w="3000"/>
            <w:shd w:fill="DDDDDD" w:val="clear"/>
          </w:tcPr>
          <w:p>
            <w:r>
              <w:t xml:space="preserve">Cut/intricate multi-shape pattern (Option B)</w:t>
            </w:r>
          </w:p>
        </w:tc>
      </w:tr>
      <w:tr>
        <w:tc>
          <w:tcPr>
            <w:tcW w:type="dxa" w:w="3000"/>
          </w:tcPr>
          <w:p>
            <w:r>
              <w:t xml:space="preserve">Material, $/sq ft</w:t>
            </w:r>
          </w:p>
        </w:tc>
        <w:tc>
          <w:tcPr>
            <w:tcW w:type="dxa" w:w="3000"/>
          </w:tcPr>
          <w:p>
            <w:r>
              <w:t xml:space="preserve">Real market range is $2.00–$8.00 [S7]. This case's material rate: </w:t>
            </w:r>
            <w:r>
              <w:rPr>
                <w:b/>
                <w:bCs/>
              </w:rPr>
              <w:t xml:space="preserve">$5.50/sq ft</w:t>
            </w:r>
            <w:r>
              <w:t xml:space="preserve"> — SEE APPENDIX G, MA1a</w:t>
            </w:r>
          </w:p>
        </w:tc>
        <w:tc>
          <w:tcPr>
            <w:tcW w:type="dxa" w:w="3000"/>
          </w:tcPr>
          <w:p>
            <w:r>
              <w:t xml:space="preserve">Material rate: Option A's rate </w:t>
            </w:r>
            <w:r>
              <w:rPr>
                <w:b/>
                <w:bCs/>
              </w:rPr>
              <w:t xml:space="preserve">+10%</w:t>
            </w:r>
            <w:r>
              <w:t xml:space="preserve"> — SEE APPENDIX G, MA1b</w:t>
            </w:r>
          </w:p>
        </w:tc>
      </w:tr>
      <w:tr>
        <w:tc>
          <w:tcPr>
            <w:tcW w:type="dxa" w:w="3000"/>
          </w:tcPr>
          <w:p>
            <w:r>
              <w:t xml:space="preserve">Installation labor, $/sq ft</w:t>
            </w:r>
          </w:p>
        </w:tc>
        <w:tc>
          <w:tcPr>
            <w:tcW w:type="dxa" w:w="3000"/>
          </w:tcPr>
          <w:p>
            <w:r>
              <w:t xml:space="preserve">Midpoint of the real $7.00–$15.00 range [S7] = </w:t>
            </w:r>
            <w:r>
              <w:rPr>
                <w:b/>
                <w:bCs/>
              </w:rPr>
              <w:t xml:space="preserve">$11.00/sq ft</w:t>
            </w:r>
          </w:p>
        </w:tc>
        <w:tc>
          <w:tcPr>
            <w:tcW w:type="dxa" w:w="3000"/>
          </w:tcPr>
          <w:p>
            <w:r>
              <w:t xml:space="preserve">Option A's labor rate </w:t>
            </w:r>
            <w:r>
              <w:rPr>
                <w:b/>
                <w:bCs/>
              </w:rPr>
              <w:t xml:space="preserve">+20%</w:t>
            </w:r>
            <w:r>
              <w:t xml:space="preserve">, the real intricate-pattern premium [S8] (S8's own cited range is 15-25%; this case uses the midpoint)</w:t>
            </w:r>
          </w:p>
        </w:tc>
      </w:tr>
      <w:tr>
        <w:tc>
          <w:tcPr>
            <w:tcW w:type="dxa" w:w="3000"/>
          </w:tcPr>
          <w:p>
            <w:r>
              <w:t xml:space="preserve">Waste factor (% of material)</w:t>
            </w:r>
          </w:p>
        </w:tc>
        <w:tc>
          <w:tcPr>
            <w:tcW w:type="dxa" w:w="3000"/>
          </w:tcPr>
          <w:p>
            <w:r>
              <w:rPr>
                <w:b/>
                <w:bCs/>
              </w:rPr>
              <w:t xml:space="preserve">3%</w:t>
            </w:r>
            <w:r>
              <w:t xml:space="preserve"> — SEE APPENDIX G, MA4</w:t>
            </w:r>
          </w:p>
        </w:tc>
        <w:tc>
          <w:tcPr>
            <w:tcW w:type="dxa" w:w="3000"/>
          </w:tcPr>
          <w:p>
            <w:r>
              <w:rPr>
                <w:b/>
                <w:bCs/>
              </w:rPr>
              <w:t xml:space="preserve">10%</w:t>
            </w:r>
            <w:r>
              <w:t xml:space="preserve"> — SEE APPENDIX G, MA4</w:t>
            </w:r>
          </w:p>
        </w:tc>
      </w:tr>
    </w:tbl>
    <w:p/>
    <w:p>
      <w:r>
        <w:rPr>
          <w:b/>
          <w:bCs/>
        </w:rPr>
        <w:t xml:space="preserve">D5's formula, in full</w:t>
      </w:r>
      <w:r>
        <w:t xml:space="preserve"> (every input above is a stated range or a stated single multiplier —</w:t>
      </w:r>
    </w:p>
    <w:p>
      <w:r>
        <w:t xml:space="preserve">nothing else is needed):</w:t>
      </w:r>
    </w:p>
    <w:p>
      <w:pPr>
        <w:shd w:fill="F0F0F0" w:val="clear"/>
      </w:pPr>
      <w:r>
        <w:rPr>
          <w:rFonts w:ascii="Courier New" w:cs="Courier New" w:eastAsia="Courier New" w:hAnsi="Courier New"/>
        </w:rPr>
        <w:t xml:space="preserve">Total installed $/sq ft = material rate x (1 + waste factor) + labor rate</w:t>
      </w:r>
    </w:p>
    <w:p>
      <w:r>
        <w:t xml:space="preserve">Independent cross-check: a real published **national average of $21.74–$28.49 per sq ft, total</w:t>
      </w:r>
    </w:p>
    <w:p>
      <w:r>
        <w:t xml:space="preserve">installed**, for a basic single-shape pattern [S6] — this case's Option A total should land below</w:t>
      </w:r>
    </w:p>
    <w:p>
      <w:r>
        <w:t xml:space="preserve">this range (a smaller municipal job, not the national average mix); use it to sanity-check your own</w:t>
      </w:r>
    </w:p>
    <w:p>
      <w:r>
        <w:t xml:space="preserve">D5 total, not as a number to plug in directly.</w:t>
      </w:r>
    </w:p>
    <w:p>
      <w:r>
        <w:t xml:space="preserve">City's published target cost: </w:t>
      </w:r>
      <w:r>
        <w:rPr>
          <w:b/>
          <w:bCs/>
        </w:rPr>
        <w:t xml:space="preserve">$18.50 per sq ft</w:t>
      </w:r>
      <w:r>
        <w:t xml:space="preserve"> — SEE APPENDIX G, MA3. Not a hard disqualifier</w:t>
      </w:r>
    </w:p>
    <w:p>
      <w:r>
        <w:t xml:space="preserve">(SEE BACKGROUND) — a bid over target must defend the gap in the pitch.</w:t>
      </w:r>
    </w:p>
    <w:p>
      <w:pPr>
        <w:pStyle w:val="Heading2"/>
        <w:spacing w:after="120" w:before="240"/>
      </w:pPr>
      <w:r>
        <w:t xml:space="preserve">Appendix E — Historic Pavement Reference</w:t>
      </w:r>
    </w:p>
    <w:p>
      <w:r>
        <w:t xml:space="preserve">Kessler Plaza's original 1962 pavement, as documented in the city's own historic-preservation</w:t>
      </w:r>
    </w:p>
    <w:p>
      <w:r>
        <w:t xml:space="preserve">archive, was an octagon-and-square paver field — a pattern common on mid-century American civic</w:t>
      </w:r>
    </w:p>
    <w:p>
      <w:r>
        <w:t xml:space="preserve">plazas and sidewalks generally. The arts commission's pre-bid materials state: *"Bidders are asked</w:t>
      </w:r>
    </w:p>
    <w:p>
      <w:r>
        <w:t xml:space="preserve">to honor the plaza's documented historic pavement character where a firm can do so responsibly</w:t>
      </w:r>
    </w:p>
    <w:p>
      <w:r>
        <w:t xml:space="preserve">within the published target cost."*</w:t>
      </w:r>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Hexagonal concrete paver module size</w:t>
            </w:r>
          </w:p>
        </w:tc>
        <w:tc>
          <w:tcPr>
            <w:tcW w:type="dxa" w:w="1500"/>
          </w:tcPr>
          <w:p>
            <w:r>
              <w:t xml:space="preserve">10.25 in × 10.25 in</w:t>
            </w:r>
          </w:p>
        </w:tc>
        <w:tc>
          <w:tcPr>
            <w:tcW w:type="dxa" w:w="1500"/>
          </w:tcPr>
          <w:p>
            <w:r>
              <w:t xml:space="preserve">Super Arbor product listing, "10.25 in. x 10.25 in. Hexagonal Concrete Pavers I" (</w:t>
            </w:r>
            <w:hyperlink w:history="1" r:id="rIdvvgonbeawbk2i4p-5gbuy">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S2</w:t>
            </w:r>
          </w:p>
        </w:tc>
        <w:tc>
          <w:tcPr>
            <w:tcW w:type="dxa" w:w="1500"/>
          </w:tcPr>
          <w:p>
            <w:r>
              <w:t xml:space="preserve">Hexagonal paver unit price</w:t>
            </w:r>
          </w:p>
        </w:tc>
        <w:tc>
          <w:tcPr>
            <w:tcW w:type="dxa" w:w="1500"/>
          </w:tcPr>
          <w:p>
            <w:r>
              <w:t xml:space="preserve">$10.36/paver ($1,162.00 / 112-piece pallet)</w:t>
            </w:r>
          </w:p>
        </w:tc>
        <w:tc>
          <w:tcPr>
            <w:tcW w:type="dxa" w:w="1500"/>
          </w:tcPr>
          <w:p>
            <w:r>
              <w:t xml:space="preserve">Same Super Arbor listing</w:t>
            </w:r>
          </w:p>
        </w:tc>
        <w:tc>
          <w:tcPr>
            <w:tcW w:type="dxa" w:w="1500"/>
          </w:tcPr>
          <w:p>
            <w:r>
              <w:t xml:space="preserve">2026-08-12</w:t>
            </w:r>
          </w:p>
        </w:tc>
        <w:tc>
          <w:tcPr>
            <w:tcW w:type="dxa" w:w="1500"/>
          </w:tcPr>
          <w:p>
            <w:r>
              <w:t xml:space="preserve">HIGH</w:t>
            </w:r>
          </w:p>
        </w:tc>
      </w:tr>
      <w:tr>
        <w:tc>
          <w:tcPr>
            <w:tcW w:type="dxa" w:w="1500"/>
          </w:tcPr>
          <w:p>
            <w:r>
              <w:t xml:space="preserve">S3</w:t>
            </w:r>
          </w:p>
        </w:tc>
        <w:tc>
          <w:tcPr>
            <w:tcW w:type="dxa" w:w="1500"/>
          </w:tcPr>
          <w:p>
            <w:r>
              <w:t xml:space="preserve">Octagon paver module size (multisided paver system)</w:t>
            </w:r>
          </w:p>
        </w:tc>
        <w:tc>
          <w:tcPr>
            <w:tcW w:type="dxa" w:w="1500"/>
          </w:tcPr>
          <w:p>
            <w:r>
              <w:t xml:space="preserve">15⅞ in across flats</w:t>
            </w:r>
          </w:p>
        </w:tc>
        <w:tc>
          <w:tcPr>
            <w:tcW w:type="dxa" w:w="1500"/>
          </w:tcPr>
          <w:p>
            <w:r>
              <w:t xml:space="preserve">Hanover Architectural Products, "Multisided Paver System" (</w:t>
            </w:r>
            <w:hyperlink w:history="1" r:id="rIdeisftr_w6tdavte5sg6a3">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S4</w:t>
            </w:r>
          </w:p>
        </w:tc>
        <w:tc>
          <w:tcPr>
            <w:tcW w:type="dxa" w:w="1500"/>
          </w:tcPr>
          <w:p>
            <w:r>
              <w:t xml:space="preserve">Matching square paver module size (same system)</w:t>
            </w:r>
          </w:p>
        </w:tc>
        <w:tc>
          <w:tcPr>
            <w:tcW w:type="dxa" w:w="1500"/>
          </w:tcPr>
          <w:p>
            <w:r>
              <w:t xml:space="preserve">6 9/16 in</w:t>
            </w:r>
          </w:p>
        </w:tc>
        <w:tc>
          <w:tcPr>
            <w:tcW w:type="dxa" w:w="1500"/>
          </w:tcPr>
          <w:p>
            <w:r>
              <w:t xml:space="preserve">Same Hanover product page</w:t>
            </w:r>
          </w:p>
        </w:tc>
        <w:tc>
          <w:tcPr>
            <w:tcW w:type="dxa" w:w="1500"/>
          </w:tcPr>
          <w:p>
            <w:r>
              <w:t xml:space="preserve">2026-08-12</w:t>
            </w:r>
          </w:p>
        </w:tc>
        <w:tc>
          <w:tcPr>
            <w:tcW w:type="dxa" w:w="1500"/>
          </w:tcPr>
          <w:p>
            <w:r>
              <w:t xml:space="preserve">HIGH</w:t>
            </w:r>
          </w:p>
        </w:tc>
      </w:tr>
      <w:tr>
        <w:tc>
          <w:tcPr>
            <w:tcW w:type="dxa" w:w="1500"/>
          </w:tcPr>
          <w:p>
            <w:r>
              <w:t xml:space="preserve">S5</w:t>
            </w:r>
          </w:p>
        </w:tc>
        <w:tc>
          <w:tcPr>
            <w:tcW w:type="dxa" w:w="1500"/>
          </w:tcPr>
          <w:p>
            <w:r>
              <w:t xml:space="preserve">Real civic-plaza paver installation scale, for comparison</w:t>
            </w:r>
          </w:p>
        </w:tc>
        <w:tc>
          <w:tcPr>
            <w:tcW w:type="dxa" w:w="1500"/>
          </w:tcPr>
          <w:p>
            <w:r>
              <w:t xml:space="preserve">30,000 sq ft of 1'×1' concrete pavers</w:t>
            </w:r>
          </w:p>
        </w:tc>
        <w:tc>
          <w:tcPr>
            <w:tcW w:type="dxa" w:w="1500"/>
          </w:tcPr>
          <w:p>
            <w:r>
              <w:t xml:space="preserve">MATT Construction, "Pioneering Raised Floor System Lifts The Music Center Plaza" (</w:t>
            </w:r>
            <w:hyperlink w:history="1" r:id="rId9mfweyfoacz3y5yowyrwo">
              <w:r>
                <w:rPr>
                  <w:rStyle w:val="Hyperlink"/>
                </w:rPr>
                <w:t xml:space="preserve">link</w:t>
              </w:r>
            </w:hyperlink>
            <w:r>
              <w:t xml:space="preserve">)</w:t>
            </w:r>
          </w:p>
        </w:tc>
        <w:tc>
          <w:tcPr>
            <w:tcW w:type="dxa" w:w="1500"/>
          </w:tcPr>
          <w:p>
            <w:r>
              <w:t xml:space="preserve">2026-08-12</w:t>
            </w:r>
          </w:p>
        </w:tc>
        <w:tc>
          <w:tcPr>
            <w:tcW w:type="dxa" w:w="1500"/>
          </w:tcPr>
          <w:p>
            <w:r>
              <w:t xml:space="preserve">MEDIUM — a real, different plaza, used only as a scale anchor for MA2</w:t>
            </w:r>
          </w:p>
        </w:tc>
      </w:tr>
      <w:tr>
        <w:tc>
          <w:tcPr>
            <w:tcW w:type="dxa" w:w="1500"/>
          </w:tcPr>
          <w:p>
            <w:r>
              <w:t xml:space="preserve">S6</w:t>
            </w:r>
          </w:p>
        </w:tc>
        <w:tc>
          <w:tcPr>
            <w:tcW w:type="dxa" w:w="1500"/>
          </w:tcPr>
          <w:p>
            <w:r>
              <w:t xml:space="preserve">National average total installed cost, basic paver pattern</w:t>
            </w:r>
          </w:p>
        </w:tc>
        <w:tc>
          <w:tcPr>
            <w:tcW w:type="dxa" w:w="1500"/>
          </w:tcPr>
          <w:p>
            <w:r>
              <w:t xml:space="preserve">$21.74 – $28.49 / sq ft</w:t>
            </w:r>
          </w:p>
        </w:tc>
        <w:tc>
          <w:tcPr>
            <w:tcW w:type="dxa" w:w="1500"/>
          </w:tcPr>
          <w:p>
            <w:r>
              <w:t xml:space="preserve">Homewyse, "Cost to Install Pavers," May 2026 estimate (</w:t>
            </w:r>
            <w:hyperlink w:history="1" r:id="rIda1ram_kjflvcdjdw1_glk">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S7</w:t>
            </w:r>
          </w:p>
        </w:tc>
        <w:tc>
          <w:tcPr>
            <w:tcW w:type="dxa" w:w="1500"/>
          </w:tcPr>
          <w:p>
            <w:r>
              <w:t xml:space="preserve">Concrete paver material cost range; professional installation cost range</w:t>
            </w:r>
          </w:p>
        </w:tc>
        <w:tc>
          <w:tcPr>
            <w:tcW w:type="dxa" w:w="1500"/>
          </w:tcPr>
          <w:p>
            <w:r>
              <w:t xml:space="preserve">Material $2–$8/sq ft; Installation $7–$15/sq ft</w:t>
            </w:r>
          </w:p>
        </w:tc>
        <w:tc>
          <w:tcPr>
            <w:tcW w:type="dxa" w:w="1500"/>
          </w:tcPr>
          <w:p>
            <w:r>
              <w:t xml:space="preserve">StoneCenters, "Pavers Price per Square Foot: A 2025 Cost Breakdown" (</w:t>
            </w:r>
            <w:hyperlink w:history="1" r:id="rId6m23q_3_eoshgv_hekili">
              <w:r>
                <w:rPr>
                  <w:rStyle w:val="Hyperlink"/>
                </w:rPr>
                <w:t xml:space="preserve">link</w:t>
              </w:r>
            </w:hyperlink>
            <w:r>
              <w:t xml:space="preserve">)</w:t>
            </w:r>
          </w:p>
        </w:tc>
        <w:tc>
          <w:tcPr>
            <w:tcW w:type="dxa" w:w="1500"/>
          </w:tcPr>
          <w:p>
            <w:r>
              <w:t xml:space="preserve">2026-08-12</w:t>
            </w:r>
          </w:p>
        </w:tc>
        <w:tc>
          <w:tcPr>
            <w:tcW w:type="dxa" w:w="1500"/>
          </w:tcPr>
          <w:p>
            <w:r>
              <w:t xml:space="preserve">MEDIUM — aggregator blog, no explicit publication date confirmed on the page itself</w:t>
            </w:r>
          </w:p>
        </w:tc>
      </w:tr>
      <w:tr>
        <w:tc>
          <w:tcPr>
            <w:tcW w:type="dxa" w:w="1500"/>
          </w:tcPr>
          <w:p>
            <w:r>
              <w:t xml:space="preserve">S8</w:t>
            </w:r>
          </w:p>
        </w:tc>
        <w:tc>
          <w:tcPr>
            <w:tcW w:type="dxa" w:w="1500"/>
          </w:tcPr>
          <w:p>
            <w:r>
              <w:t xml:space="preserve">Labor premium for intricate/custom-shape paver patterns</w:t>
            </w:r>
          </w:p>
        </w:tc>
        <w:tc>
          <w:tcPr>
            <w:tcW w:type="dxa" w:w="1500"/>
          </w:tcPr>
          <w:p>
            <w:r>
              <w:t xml:space="preserve">"+15%–25% to labor costs" (also cited: 20–40% total cost increase for intricate/curved patterns)</w:t>
            </w:r>
          </w:p>
        </w:tc>
        <w:tc>
          <w:tcPr>
            <w:tcW w:type="dxa" w:w="1500"/>
          </w:tcPr>
          <w:p>
            <w:r>
              <w:t xml:space="preserve">Same StoneCenters page</w:t>
            </w:r>
          </w:p>
        </w:tc>
        <w:tc>
          <w:tcPr>
            <w:tcW w:type="dxa" w:w="1500"/>
          </w:tcPr>
          <w:p>
            <w:r>
              <w:t xml:space="preserve">2026-08-12</w:t>
            </w:r>
          </w:p>
        </w:tc>
        <w:tc>
          <w:tcPr>
            <w:tcW w:type="dxa" w:w="1500"/>
          </w:tcPr>
          <w:p>
            <w:r>
              <w:t xml:space="preserve">MEDIUM — same caveat as S7</w:t>
            </w:r>
          </w:p>
        </w:tc>
      </w:tr>
    </w:tbl>
    <w:p/>
    <w:p>
      <w:pPr>
        <w:pStyle w:val="Heading2"/>
        <w:spacing w:after="120" w:before="240"/>
      </w:pPr>
      <w:r>
        <w:t xml:space="preserve">Appendix G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MA1a</w:t>
            </w:r>
          </w:p>
        </w:tc>
        <w:tc>
          <w:tcPr>
            <w:tcW w:type="dxa" w:w="1800"/>
          </w:tcPr>
          <w:p>
            <w:r>
              <w:t xml:space="preserve">Hex Grid material rate (Option A)</w:t>
            </w:r>
          </w:p>
        </w:tc>
        <w:tc>
          <w:tcPr>
            <w:tcW w:type="dxa" w:w="1800"/>
          </w:tcPr>
          <w:p>
            <w:r>
              <w:rPr>
                <w:b/>
                <w:bCs/>
              </w:rPr>
              <w:t xml:space="preserve">$5.50/sq ft</w:t>
            </w:r>
          </w:p>
        </w:tc>
        <w:tc>
          <w:tcPr>
            <w:tcW w:type="dxa" w:w="1800"/>
          </w:tcPr>
          <w:p>
            <w:r>
              <w:t xml:space="preserve">A stated point inside S7's real $2.00–$8.00/sq ft contractor-market range — toward the upper end, reflecting a branded geometric-shape product rather than a generic rectangular paver.</w:t>
            </w:r>
          </w:p>
        </w:tc>
        <w:tc>
          <w:tcPr>
            <w:tcW w:type="dxa" w:w="1800"/>
          </w:tcPr>
          <w:p>
            <w:r>
              <w:t xml:space="preserve">Directly load-bearing — see </w:t>
            </w:r>
            <w:r>
              <w:rPr>
                <w:rFonts w:ascii="Courier New" w:cs="Courier New" w:eastAsia="Courier New" w:hAnsi="Courier New"/>
              </w:rPr>
              <w:t xml:space="preserve">sensitivity_model.py</w:t>
            </w:r>
            <w:r>
              <w:t xml:space="preserve"> FLEX sweep for the exact stability range under a ±50% flex.</w:t>
            </w:r>
          </w:p>
        </w:tc>
      </w:tr>
      <w:tr>
        <w:tc>
          <w:tcPr>
            <w:tcW w:type="dxa" w:w="1800"/>
          </w:tcPr>
          <w:p>
            <w:r>
              <w:t xml:space="preserve">MA1b</w:t>
            </w:r>
          </w:p>
        </w:tc>
        <w:tc>
          <w:tcPr>
            <w:tcW w:type="dxa" w:w="1800"/>
          </w:tcPr>
          <w:p>
            <w:r>
              <w:t xml:space="preserve">Weave Pattern material premium (Option B)</w:t>
            </w:r>
          </w:p>
        </w:tc>
        <w:tc>
          <w:tcPr>
            <w:tcW w:type="dxa" w:w="1800"/>
          </w:tcPr>
          <w:p>
            <w:r>
              <w:t xml:space="preserve">Option A's material rate </w:t>
            </w:r>
            <w:r>
              <w:rPr>
                <w:b/>
                <w:bCs/>
              </w:rPr>
              <w:t xml:space="preserve">+10%</w:t>
            </w:r>
          </w:p>
        </w:tc>
        <w:tc>
          <w:tcPr>
            <w:tcW w:type="dxa" w:w="1800"/>
          </w:tcPr>
          <w:p>
            <w:r>
              <w:t xml:space="preserve">No manufacturer (Hanover, Western Interlock) publishes public pricing for an octagon+square combination set — both list "contact sales." A multi-SKU, multi-mold commercial product carries a real, standard manufacturing-economics premium over a single-shape field paver. Retuned from an initial 20% (SPEC section 2: that value put the base margin at 19.1%, and a +50% Tier-2 flex broke the 20% cap at 21.4% — retuned the constraint down, not hidden data) to 10%, still a real, positive multi-SKU premium, just smaller.</w:t>
            </w:r>
          </w:p>
        </w:tc>
        <w:tc>
          <w:tcPr>
            <w:tcW w:type="dxa" w:w="1800"/>
          </w:tcPr>
          <w:p>
            <w:r>
              <w:t xml:space="preserve">Directly load-bearing — the single biggest lever in this case. Flexed +/-50% in Tier 2 probe 5: margin ranges 14.8%-17.3%, Option A stays cheaper throughout.</w:t>
            </w:r>
          </w:p>
        </w:tc>
      </w:tr>
      <w:tr>
        <w:tc>
          <w:tcPr>
            <w:tcW w:type="dxa" w:w="1800"/>
          </w:tcPr>
          <w:p>
            <w:r>
              <w:t xml:space="preserve">MA2</w:t>
            </w:r>
          </w:p>
        </w:tc>
        <w:tc>
          <w:tcPr>
            <w:tcW w:type="dxa" w:w="1800"/>
          </w:tcPr>
          <w:p>
            <w:r>
              <w:t xml:space="preserve">Kessler Plaza's specific footprint</w:t>
            </w:r>
          </w:p>
        </w:tc>
        <w:tc>
          <w:tcPr>
            <w:tcW w:type="dxa" w:w="1800"/>
          </w:tcPr>
          <w:p>
            <w:r>
              <w:rPr>
                <w:b/>
                <w:bCs/>
              </w:rPr>
              <w:t xml:space="preserve">200 ft × 150 ft</w:t>
            </w:r>
            <w:r>
              <w:t xml:space="preserve"> (30,000 sq ft)</w:t>
            </w:r>
          </w:p>
        </w:tc>
        <w:tc>
          <w:tcPr>
            <w:tcW w:type="dxa" w:w="1800"/>
          </w:tcPr>
          <w:p>
            <w:r>
              <w:t xml:space="preserve">No plan dimensions exist for a fictional plaza. The total area is set to match S5's real, comparable-scale civic paver installation; the 200×150 split is an assumed aspect ratio, not a published fact.</w:t>
            </w:r>
          </w:p>
        </w:tc>
        <w:tc>
          <w:tcPr>
            <w:tcW w:type="dxa" w:w="1800"/>
          </w:tcPr>
          <w:p>
            <w:r>
              <w:t xml:space="preserve">Not load-bearing on the $/sq ft metric (a ratio); directly load-bearing on D4's specific GCF answer.</w:t>
            </w:r>
          </w:p>
        </w:tc>
      </w:tr>
      <w:tr>
        <w:tc>
          <w:tcPr>
            <w:tcW w:type="dxa" w:w="1800"/>
          </w:tcPr>
          <w:p>
            <w:r>
              <w:t xml:space="preserve">MA3</w:t>
            </w:r>
          </w:p>
        </w:tc>
        <w:tc>
          <w:tcPr>
            <w:tcW w:type="dxa" w:w="1800"/>
          </w:tcPr>
          <w:p>
            <w:r>
              <w:t xml:space="preserve">Commission's target cost</w:t>
            </w:r>
          </w:p>
        </w:tc>
        <w:tc>
          <w:tcPr>
            <w:tcW w:type="dxa" w:w="1800"/>
          </w:tcPr>
          <w:p>
            <w:r>
              <w:rPr>
                <w:b/>
                <w:bCs/>
              </w:rPr>
              <w:t xml:space="preserve">$18.50 / sq ft</w:t>
            </w:r>
          </w:p>
        </w:tc>
        <w:tc>
          <w:tcPr>
            <w:tcW w:type="dxa" w:w="1800"/>
          </w:tcPr>
          <w:p>
            <w:r>
              <w:t xml:space="preserve">No single public "Kessler Plaza budget" document exists (fictional). Set between the two options' real computed totals — high enough to be a realistic municipal target above bare material+labor cost, low enough that a premium pattern has to earn its place above it.</w:t>
            </w:r>
          </w:p>
        </w:tc>
        <w:tc>
          <w:tcPr>
            <w:tcW w:type="dxa" w:w="1800"/>
          </w:tcPr>
          <w:p>
            <w:r>
              <w:t xml:space="preserve">Test it yourself: at what target value would </w:t>
            </w:r>
            <w:r>
              <w:rPr>
                <w:i/>
                <w:iCs/>
              </w:rPr>
              <w:t xml:space="preserve">both</w:t>
            </w:r>
            <w:r>
              <w:t xml:space="preserve"> options clear it? At what value would </w:t>
            </w:r>
            <w:r>
              <w:rPr>
                <w:i/>
                <w:iCs/>
              </w:rPr>
              <w:t xml:space="preserve">neither</w:t>
            </w:r>
            <w:r>
              <w:t xml:space="preserve">?</w:t>
            </w:r>
          </w:p>
        </w:tc>
      </w:tr>
      <w:tr>
        <w:tc>
          <w:tcPr>
            <w:tcW w:type="dxa" w:w="1800"/>
          </w:tcPr>
          <w:p>
            <w:r>
              <w:t xml:space="preserve">MA4</w:t>
            </w:r>
          </w:p>
        </w:tc>
        <w:tc>
          <w:tcPr>
            <w:tcW w:type="dxa" w:w="1800"/>
          </w:tcPr>
          <w:p>
            <w:r>
              <w:t xml:space="preserve">Waste factor, simple vs. cut pattern</w:t>
            </w:r>
          </w:p>
        </w:tc>
        <w:tc>
          <w:tcPr>
            <w:tcW w:type="dxa" w:w="1800"/>
          </w:tcPr>
          <w:p>
            <w:r>
              <w:rPr>
                <w:b/>
                <w:bCs/>
              </w:rPr>
              <w:t xml:space="preserve">3% simple / 10% cut</w:t>
            </w:r>
          </w:p>
        </w:tc>
        <w:tc>
          <w:tcPr>
            <w:tcW w:type="dxa" w:w="1800"/>
          </w:tcPr>
          <w:p>
            <w:r>
              <w:t xml:space="preserve">No single citable percentage exists for this specific split. Order-of-magnitude cross-checked against S8's real "20-40% total cost increase for intricate patterns." Retuned from an initial 12% cut alongside MA1b (same SPEC section 2 reason).</w:t>
            </w:r>
          </w:p>
        </w:tc>
        <w:tc>
          <w:tcPr>
            <w:tcW w:type="dxa" w:w="1800"/>
          </w:tcPr>
          <w:p>
            <w:r>
              <w:t xml:space="preserve">Flexed +/-50% in Tier 2 probe 5: margin ranges 14.8%-17.3% (jointly with MA1b) — a minor lever, not the dial that decides the case.</w:t>
            </w:r>
          </w:p>
        </w:tc>
      </w:tr>
      <w:tr>
        <w:tc>
          <w:tcPr>
            <w:tcW w:type="dxa" w:w="1800"/>
          </w:tcPr>
          <w:p>
            <w:r>
              <w:t xml:space="preserve">MA5</w:t>
            </w:r>
          </w:p>
        </w:tc>
        <w:tc>
          <w:tcPr>
            <w:tcW w:type="dxa" w:w="1800"/>
          </w:tcPr>
          <w:p>
            <w:r>
              <w:t xml:space="preserve">Twist (fountain restoration): curved-edge cutting cost growth</w:t>
            </w:r>
          </w:p>
        </w:tc>
        <w:tc>
          <w:tcPr>
            <w:tcW w:type="dxa" w:w="1800"/>
          </w:tcPr>
          <w:p>
            <w:r>
              <w:t xml:space="preserve">Option A's cut-labor cost </w:t>
            </w:r>
            <w:r>
              <w:rPr>
                <w:b/>
                <w:bCs/>
              </w:rPr>
              <w:t xml:space="preserve">+1.5%</w:t>
            </w:r>
            <w:r>
              <w:t xml:space="preserve">, Option B's </w:t>
            </w:r>
            <w:r>
              <w:rPr>
                <w:b/>
                <w:bCs/>
              </w:rPr>
              <w:t xml:space="preserve">+3.0%</w:t>
            </w:r>
          </w:p>
        </w:tc>
        <w:tc>
          <w:tcPr>
            <w:tcW w:type="dxa" w:w="1800"/>
          </w:tcPr>
          <w:p>
            <w:r>
              <w:t xml:space="preserve">The case gives no fountain radius, so this is </w:t>
            </w:r>
            <w:r>
              <w:rPr>
                <w:b/>
                <w:bCs/>
              </w:rPr>
              <w:t xml:space="preserve">not derived from a measurement</w:t>
            </w:r>
            <w:r>
              <w:t xml:space="preserve"> — it is a stated scenario assumption that a larger module (Option B's octagon/square, vs. Option A's smaller hexagon) needs proportionally more full-piece replacement per linear foot of curved boundary, since a bigger module is less likely to fit a curve segment without a complete cut. This causal claim is asserted, not proven, and a Hero may reasonably argue the opposite.</w:t>
            </w:r>
          </w:p>
        </w:tc>
        <w:tc>
          <w:tcPr>
            <w:tcW w:type="dxa" w:w="1800"/>
          </w:tcPr>
          <w:p>
            <w:r>
              <w:t xml:space="preserve">Directly load-bearing on the twist only, not on the base recommendation. Flip the two percentages and check whether the twist's effect on the gap between A and B reverses.</w:t>
            </w:r>
          </w:p>
        </w:tc>
      </w:tr>
    </w:tbl>
    <w:p/>
    <w:p>
      <w:pPr>
        <w:pStyle w:val="Heading2"/>
        <w:spacing w:after="120" w:before="240"/>
      </w:pPr>
      <w:r>
        <w:t xml:space="preserve">Appendix H — "How To…" Math Questions To Research</w:t>
      </w:r>
    </w:p>
    <w:p>
      <w:r>
        <w:rPr>
          <w:b/>
          <w:bCs/>
        </w:rPr>
        <w:t xml:space="preserve">Vocabulary terms</w:t>
      </w:r>
    </w:p>
    <w:p>
      <w:pPr>
        <w:ind w:left="360"/>
      </w:pPr>
      <w:r>
        <w:t xml:space="preserve">- Transformation</w:t>
      </w:r>
    </w:p>
    <w:p>
      <w:pPr>
        <w:ind w:left="360"/>
      </w:pPr>
      <w:r>
        <w:t xml:space="preserve">- Translation</w:t>
      </w:r>
    </w:p>
    <w:p>
      <w:pPr>
        <w:ind w:left="360"/>
      </w:pPr>
      <w:r>
        <w:t xml:space="preserve">- Symmetry</w:t>
      </w:r>
    </w:p>
    <w:p>
      <w:pPr>
        <w:ind w:left="360"/>
      </w:pPr>
      <w:r>
        <w:t xml:space="preserve">- Line Of Symmetry</w:t>
      </w:r>
    </w:p>
    <w:p>
      <w:pPr>
        <w:ind w:left="360"/>
      </w:pPr>
      <w:r>
        <w:t xml:space="preserve">- Clockwise</w:t>
      </w:r>
    </w:p>
    <w:p>
      <w:pPr>
        <w:ind w:left="360"/>
      </w:pPr>
      <w:r>
        <w:t xml:space="preserve">- Counter-Clockwise</w:t>
      </w:r>
    </w:p>
    <w:p>
      <w:pPr>
        <w:ind w:left="360"/>
      </w:pPr>
      <w:r>
        <w:t xml:space="preserve">- Reflection</w:t>
      </w:r>
    </w:p>
    <w:p>
      <w:pPr>
        <w:ind w:left="360"/>
      </w:pPr>
      <w:r>
        <w:t xml:space="preserve">- Rotation</w:t>
      </w:r>
    </w:p>
    <w:p>
      <w:pPr>
        <w:ind w:left="360"/>
      </w:pPr>
      <w:r>
        <w:t xml:space="preserve">- Pentagon</w:t>
      </w:r>
    </w:p>
    <w:p>
      <w:pPr>
        <w:ind w:left="360"/>
      </w:pPr>
      <w:r>
        <w:t xml:space="preserve">- Hexagon</w:t>
      </w:r>
    </w:p>
    <w:p>
      <w:pPr>
        <w:ind w:left="360"/>
      </w:pPr>
      <w:r>
        <w:t xml:space="preserve">- Heptagon</w:t>
      </w:r>
    </w:p>
    <w:p>
      <w:pPr>
        <w:ind w:left="360"/>
      </w:pPr>
      <w:r>
        <w:t xml:space="preserve">- Octagon</w:t>
      </w:r>
    </w:p>
    <w:p>
      <w:pPr>
        <w:ind w:left="360"/>
      </w:pPr>
      <w:r>
        <w:t xml:space="preserve">- Nonagon</w:t>
      </w:r>
    </w:p>
    <w:p>
      <w:pPr>
        <w:ind w:left="360"/>
      </w:pPr>
      <w:r>
        <w:t xml:space="preserve">- Decagon</w:t>
      </w:r>
    </w:p>
    <w:p>
      <w:pPr>
        <w:ind w:left="360"/>
      </w:pPr>
      <w:r>
        <w:t xml:space="preserve">- Dodecagon</w:t>
      </w:r>
    </w:p>
    <w:p>
      <w:pPr>
        <w:ind w:left="360"/>
      </w:pPr>
      <w:r>
        <w:t xml:space="preserve">- Rhombus</w:t>
      </w:r>
    </w:p>
    <w:p>
      <w:pPr>
        <w:ind w:left="360"/>
      </w:pPr>
      <w:r>
        <w:t xml:space="preserve">- Kite</w:t>
      </w:r>
    </w:p>
    <w:p>
      <w:pPr>
        <w:ind w:left="360"/>
      </w:pPr>
      <w:r>
        <w:t xml:space="preserve">- N-gon</w:t>
      </w:r>
    </w:p>
    <w:p>
      <w:pPr>
        <w:ind w:left="360"/>
      </w:pPr>
      <w:r>
        <w:t xml:space="preserve">- Regular Polygon</w:t>
      </w:r>
    </w:p>
    <w:p>
      <w:pPr>
        <w:ind w:left="360"/>
      </w:pPr>
      <w:r>
        <w:t xml:space="preserve">- Vertical Angles</w:t>
      </w:r>
    </w:p>
    <w:p>
      <w:pPr>
        <w:ind w:left="360"/>
      </w:pPr>
      <w:r>
        <w:t xml:space="preserve">- Supplementary Angles</w:t>
      </w:r>
    </w:p>
    <w:p>
      <w:pPr>
        <w:ind w:left="360"/>
      </w:pPr>
      <w:r>
        <w:t xml:space="preserve">- Sum of the interior angles of a polygon theorem</w:t>
      </w:r>
    </w:p>
    <w:p>
      <w:pPr>
        <w:ind w:left="360"/>
      </w:pPr>
      <w:r>
        <w:t xml:space="preserve">- Greatest Common Factor</w:t>
      </w:r>
    </w:p>
    <w:p>
      <w:pPr>
        <w:ind w:left="360"/>
      </w:pPr>
      <w:r>
        <w:t xml:space="preserve">- Area</w:t>
      </w:r>
    </w:p>
    <w:p>
      <w:r>
        <w:rPr>
          <w:b/>
          <w:bCs/>
        </w:rPr>
        <w:t xml:space="preserve">"How to…" questions</w:t>
      </w:r>
    </w:p>
    <w:p>
      <w:pPr>
        <w:ind w:left="360"/>
      </w:pPr>
      <w:r>
        <w:t xml:space="preserve">- How to translate a figure on the coordinate plane</w:t>
      </w:r>
    </w:p>
    <w:p>
      <w:pPr>
        <w:ind w:left="360"/>
      </w:pPr>
      <w:r>
        <w:t xml:space="preserve">- How to reflect a figure across the X-Axis</w:t>
      </w:r>
    </w:p>
    <w:p>
      <w:pPr>
        <w:ind w:left="360"/>
      </w:pPr>
      <w:r>
        <w:t xml:space="preserve">- How to rotate a figure on the coordinate plane 90 degrees clockwise</w:t>
      </w:r>
    </w:p>
    <w:p>
      <w:pPr>
        <w:ind w:left="360"/>
      </w:pPr>
      <w:r>
        <w:t xml:space="preserve">- How to find the measure of an interior angle of a polygon given the other angles</w:t>
      </w:r>
    </w:p>
    <w:p>
      <w:pPr>
        <w:ind w:left="360"/>
      </w:pPr>
      <w:r>
        <w:t xml:space="preserve">- How to find the greatest common factor of a set of numbers</w:t>
      </w:r>
    </w:p>
    <w:p>
      <w:pPr>
        <w:ind w:left="360"/>
      </w:pPr>
      <w:r>
        <w:t xml:space="preserve">- How to find the area of a regular polygon</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vgonbeawbk2i4p-5gbuy" Type="http://schemas.openxmlformats.org/officeDocument/2006/relationships/hyperlink" Target="https://superarbor.io/products/206620125-10-25-in-x-10-25-in-hexagonal-concrete-pavers-i-pallet-of-112" TargetMode="External"/><Relationship Id="rIdeisftr_w6tdavte5sg6a3" Type="http://schemas.openxmlformats.org/officeDocument/2006/relationships/hyperlink" Target="https://hanoverpavers.com/multisided-paver-system/" TargetMode="External"/><Relationship Id="rId9mfweyfoacz3y5yowyrwo" Type="http://schemas.openxmlformats.org/officeDocument/2006/relationships/hyperlink" Target="https://www.mattconstruction.com/blog/non-profit/floor-music-center/" TargetMode="External"/><Relationship Id="rIda1ram_kjflvcdjdw1_glk" Type="http://schemas.openxmlformats.org/officeDocument/2006/relationships/hyperlink" Target="https://www.homewyse.com/services/cost_to_install_pavers.html" TargetMode="External"/><Relationship Id="rId6m23q_3_eoshgv_hekili" Type="http://schemas.openxmlformats.org/officeDocument/2006/relationships/hyperlink" Target="https://stonecenters.com/blog/paver-cost-breakdow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2026-08-12T22:21:19.447Z</dcterms:created>
  <dcterms:modified xsi:type="dcterms:W3CDTF">2026-08-12T22:21:19.450Z</dcterms:modified>
</cp:coreProperties>
</file>

<file path=docProps/custom.xml><?xml version="1.0" encoding="utf-8"?>
<Properties xmlns="http://schemas.openxmlformats.org/officeDocument/2006/custom-properties" xmlns:vt="http://schemas.openxmlformats.org/officeDocument/2006/docPropsVTypes"/>
</file>