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Keyspace Decision</w:t>
      </w:r>
    </w:p>
    <w:p>
      <w:pPr>
        <w:spacing w:after="240"/>
        <w:jc w:val="center"/>
      </w:pPr>
      <w:r>
        <w:rPr>
          <w:i/>
          <w:iCs/>
          <w:sz w:val="22"/>
          <w:szCs w:val="22"/>
        </w:rPr>
        <w:t xml:space="preserve">MS | Math | Case Study | 2026 | Launchpad</w:t>
      </w:r>
    </w:p>
    <w:p>
      <w:pPr>
        <w:pStyle w:val="Heading2"/>
        <w:spacing w:after="120" w:before="240"/>
      </w:pPr>
      <w:r>
        <w:t xml:space="preserve">Overview</w:t>
      </w:r>
    </w:p>
    <w:p>
      <w:r>
        <w:t xml:space="preserve">The dashboard on Renata Cho's second monitor is still counting. Nine hundred and forty login attempts against the same account in the last six minutes, all from different IP addresses, all failing, all aimed at a mid-level accounts-payable clerk named in the alert as </w:t>
      </w:r>
      <w:r>
        <w:rPr>
          <w:rFonts w:ascii="Courier New" w:cs="Courier New" w:eastAsia="Courier New" w:hAnsi="Courier New"/>
        </w:rPr>
        <w:t xml:space="preserve">d.ferreira</w:t>
      </w:r>
      <w:r>
        <w:t xml:space="preserve">. The coffee she poured before the page went off is still too hot to drink. Somewhere down the row a teammate's headset mic clicks on and off — a normal Tuesday call, nothing wrong in his corner of the floor.</w:t>
      </w:r>
    </w:p>
    <w:p>
      <w:r>
        <w:t xml:space="preserve">Renata is Bramwell Analytics' security operations analyst, and the identity policy on her screen carries her name in the change log, not the CISO's. Two draft policies sit open in adjacent tabs. One would make every employee's password longer. The other would leave passwords short and bolt a second factor onto every login. Both drafts are dated for the board meeting where the fiscal-year security budget gets signed, and both are dated before the auditor's follow-up visit that flagged the current policy as a finding last quarter — a finding with her name on the remediation line.</w:t>
      </w:r>
    </w:p>
    <w:p>
      <w:r>
        <w:t xml:space="preserve">The clerk's account survives the attempt; the credential-stuffing tool moves on to the next name on its list within the hour. It is not this attack Renata is actually worried about. It is the one that doesn't show up on a dashboard at all — a password typed once into a fake login page, months before anyone notices.</w:t>
      </w:r>
    </w:p>
    <w:p>
      <w:r>
        <w:t xml:space="preserve">Her manager's message is still sitting unread in the corner of the screen: </w:t>
      </w:r>
      <w:r>
        <w:rPr>
          <w:i/>
          <w:iCs/>
        </w:rPr>
        <w:t xml:space="preserve">Which one are we bringing to the board Thursday?</w:t>
      </w:r>
    </w:p>
    <w:p>
      <w:r>
        <w:t xml:space="preserve">Renata pulls both drafts onto one monitor and starts reading them side by side.</w:t>
      </w:r>
    </w:p>
    <w:p>
      <w:pPr>
        <w:pStyle w:val="Heading2"/>
        <w:spacing w:after="120" w:before="240"/>
      </w:pPr>
      <w:r>
        <w:t xml:space="preserve">Background</w:t>
      </w:r>
    </w:p>
    <w:p>
      <w:r>
        <w:t xml:space="preserve">Renata Cho is the security operations analyst at Bramwell Analytics, a mid-size firm whose employees each hold a single directory account used to sign into email, finance systems, and the firm's client-data platform. She does not own the budget and cannot compel the board, but she authors the password-and-authentication standard that the whole company runs on, and the remediation plan for the auditor's finding is filed under her name (SEE APPENDIX D). If the finding recurs at the next audit, the follow-up escalates to her director.</w:t>
      </w:r>
    </w:p>
    <w:p>
      <w:r>
        <w:t xml:space="preserve">Two draft standards are under consideration, each meant to fully replace Bramwell's current password policy (SEE APPENDIX A):</w:t>
      </w:r>
    </w:p>
    <w:p>
      <w:r>
        <w:rPr>
          <w:b/>
          <w:bCs/>
        </w:rPr>
        <w:t xml:space="preserve">The Long Wall</w:t>
      </w:r>
      <w:r>
        <w:t xml:space="preserve"> would require every account password to be at least 14 characters, drawn from a stated character set, with no second authentication factor required at login.</w:t>
      </w:r>
    </w:p>
    <w:p>
      <w:r>
        <w:rPr>
          <w:b/>
          <w:bCs/>
        </w:rPr>
        <w:t xml:space="preserve">The Second Gate</w:t>
      </w:r>
      <w:r>
        <w:t xml:space="preserve"> would allow account passwords as short as 8 characters, drawn from the same character set, but would require a second authentication factor — a phone app or hardware key — on every login, for every account, with no exceptions.</w:t>
      </w:r>
    </w:p>
    <w:p>
      <w:r>
        <w:t xml:space="preserve">Both standards would apply to the same population of employee accounts (SEE APPENDIX E, MA1). Both must also satisfy one constraint neither draft can avoid: Bramwell's accounts-payable system is a legacy platform that Bramwell does not control the code of, and it has never been updated to accept anything past its original design — it stores only the first 8 characters of whatever password it is given, drawn only from lowercase letters and digits, no matter how long or how complex the password an employee actually types (SEE APPENDIX A). Whatever the company-wide standard becomes, the accounts-payable system's real, effective password protection is capped at that smaller keyspace, for every employee who touches it.</w:t>
      </w:r>
    </w:p>
    <w:p>
      <w:r>
        <w:t xml:space="preserve">An attacker who wants into a Bramwell account has more than one way in. One path is to guess the password directly, at a rate a modern offline cracking rig can sustain (SEE APPENDIX B). The other path is to steal or phish the password from the employee, or to reuse one leaked from a breach of some other site the employee also used it on. Public breach research measures how often real account takeovers happen by each of these routes, and separately measures how much a second authentication factor actually blocks — even when the attacker already has a correct password (SEE APPENDIX C).</w:t>
      </w:r>
    </w:p>
    <w:p>
      <w:r>
        <w:t xml:space="preserve">Each draft standard carries its own annual cost to implement and support across Bramwell's whole employee population (SEE APPENDIX D). Where a needed figure is not a matter of public record, it is stated as an explicit modeling assumption (SEE APPENDIX E) rather than guessed, and every sourced figure is listed in </w:t>
      </w:r>
      <w:r>
        <w:rPr>
          <w:b/>
          <w:bCs/>
        </w:rPr>
        <w:t xml:space="preserve">APPENDIX F</w:t>
      </w:r>
      <w:r>
        <w:t xml:space="preserve">. A curious Hero who wants to go beyond the required math will find further real-world reading on password security and multi-factor authentication in </w:t>
      </w:r>
      <w:r>
        <w:rPr>
          <w:b/>
          <w:bCs/>
        </w:rPr>
        <w:t xml:space="preserve">APPENDIX G</w:t>
      </w:r>
      <w:r>
        <w:t xml:space="preserve"> (SEE APPENDIX G). The vocabulary and the "how to…" skills this case will ask of you are listed in </w:t>
      </w:r>
      <w:r>
        <w:rPr>
          <w:b/>
          <w:bCs/>
        </w:rPr>
        <w:t xml:space="preserve">APPENDIX H</w:t>
      </w:r>
      <w:r>
        <w:t xml:space="preserve"> — that is where Challenge 1 sends you.</w:t>
      </w:r>
    </w:p>
    <w:p>
      <w:pPr>
        <w:pStyle w:val="Heading2"/>
        <w:spacing w:after="120" w:before="240"/>
      </w:pPr>
      <w:r>
        <w:t xml:space="preserve">Dilemma</w:t>
      </w:r>
    </w:p>
    <w:p>
      <w:r>
        <w:t xml:space="preserve">You are Renata Cho. Do you: A.) Recommend The Long Wall — mandate 14-character passwords, no second factor OR B.) Recommend The Second Gate — allow 8-character passwords, but require 2FA on every account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keyspace table (SEE APPENDIX A) for The Long Wall's nominal password, The Second     Gate's nominal password, and the accounts-payable system's reduced effective password —     character-set size, password length, and total possible passwords computed by the     Fundamental Counting Principle, with the full application of the principle shown in writing     for at least one row.     D2. A time-to-crack table (SEE APPENDIX B) converting each of the three keyspaces from D1     into an expected time to crack, in years, at the sourced offline guessing rate — with the     full compound-unit conversion (guesses per second to guesses per year) shown for at least one     row.     D3. A collision-bound analysis of the accounts-payable system's reduced keyspace (SEE     APPENDIX A): using the Pigeonhole Principle, find the minimum number of employees who would     have to share that reduced keyspace before two of them are </w:t>
      </w:r>
      <w:r>
        <w:rPr>
          <w:i/>
          <w:iCs/>
        </w:rPr>
        <w:t xml:space="preserve">guaranteed</w:t>
      </w:r>
      <w:r>
        <w:t xml:space="preserve"> to hold the identical     accounts-payable password, and compare that number to Bramwell's actual employee count (SEE     APPENDIX E, MA1) to state, with your reasoning shown, whether an accidental password     collision is a real risk at Bramwell's size.     D4. A breach-vector table (SEE APPENDIX C) showing the share of real-world account     takeovers attributable to credential theft/phishing versus direct password guessing, and the     published rate at which a second authentication factor blocks account takeover even when the     attacker already holds a correct password — combined into a single expected-annual-takeover     figure for The Long Wall and for The Second Gate.     D5. A cost-per-dollar synthesis table (SEE APPENDIX D) combining D2's time-to-crack figures,     D4's breach-vector-weighted takeover figures, and each standard's annual implementation and     support cost into the case's own metric — expected time-to-crack, in years, per dollar of     implementation and support cost — computed for The Long Wall and for The Second Gate, with     the full arithmetic shown.</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Password Policy Specification</w:t>
      </w:r>
    </w:p>
    <w:p>
      <w:r>
        <w:rPr>
          <w:b/>
          <w:bCs/>
        </w:rPr>
        <w:t xml:space="preserve">The Long Wall (Option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Minimum password length</w:t>
            </w:r>
          </w:p>
        </w:tc>
        <w:tc>
          <w:tcPr>
            <w:tcW w:type="dxa" w:w="4500"/>
          </w:tcPr>
          <w:p>
            <w:r>
              <w:t xml:space="preserve">14 characters</w:t>
            </w:r>
          </w:p>
        </w:tc>
      </w:tr>
      <w:tr>
        <w:tc>
          <w:tcPr>
            <w:tcW w:type="dxa" w:w="4500"/>
          </w:tcPr>
          <w:p>
            <w:r>
              <w:t xml:space="preserve">Allowed character set</w:t>
            </w:r>
          </w:p>
        </w:tc>
        <w:tc>
          <w:tcPr>
            <w:tcW w:type="dxa" w:w="4500"/>
          </w:tcPr>
          <w:p>
            <w:r>
              <w:t xml:space="preserve">Lowercase letters (26), uppercase letters (26), digits (10), symbols (8: </w:t>
            </w:r>
            <w:r>
              <w:rPr>
                <w:rFonts w:ascii="Courier New" w:cs="Courier New" w:eastAsia="Courier New" w:hAnsi="Courier New"/>
              </w:rPr>
              <w:t xml:space="preserve">^ * % $ ! &amp; @ #</w:t>
            </w:r>
            <w:r>
              <w:t xml:space="preserve">) [S1] — a policy definition fixed once for both draft standards</w:t>
            </w:r>
          </w:p>
        </w:tc>
      </w:tr>
      <w:tr>
        <w:tc>
          <w:tcPr>
            <w:tcW w:type="dxa" w:w="4500"/>
          </w:tcPr>
          <w:p>
            <w:r>
              <w:t xml:space="preserve">Total character-set size</w:t>
            </w:r>
          </w:p>
        </w:tc>
        <w:tc>
          <w:tcPr>
            <w:tcW w:type="dxa" w:w="4500"/>
          </w:tcPr>
          <w:p>
            <w:r>
              <w:rPr>
                <w:b/>
                <w:bCs/>
              </w:rPr>
              <w:t xml:space="preserve">70</w:t>
            </w:r>
            <w:r>
              <w:t xml:space="preserve"> (26 + 26 + 10 + 8) [S1]</w:t>
            </w:r>
          </w:p>
        </w:tc>
      </w:tr>
    </w:tbl>
    <w:p/>
    <w:p>
      <w:r>
        <w:rPr>
          <w:b/>
          <w:bCs/>
        </w:rPr>
        <w:t xml:space="preserve">The Second Gate (Option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Minimum password length</w:t>
            </w:r>
          </w:p>
        </w:tc>
        <w:tc>
          <w:tcPr>
            <w:tcW w:type="dxa" w:w="4500"/>
          </w:tcPr>
          <w:p>
            <w:r>
              <w:t xml:space="preserve">8 characters</w:t>
            </w:r>
          </w:p>
        </w:tc>
      </w:tr>
      <w:tr>
        <w:tc>
          <w:tcPr>
            <w:tcW w:type="dxa" w:w="4500"/>
          </w:tcPr>
          <w:p>
            <w:r>
              <w:t xml:space="preserve">Allowed character set</w:t>
            </w:r>
          </w:p>
        </w:tc>
        <w:tc>
          <w:tcPr>
            <w:tcW w:type="dxa" w:w="4500"/>
          </w:tcPr>
          <w:p>
            <w:r>
              <w:t xml:space="preserve">Same character set as The Long Wall — </w:t>
            </w:r>
            <w:r>
              <w:rPr>
                <w:b/>
                <w:bCs/>
              </w:rPr>
              <w:t xml:space="preserve">70</w:t>
            </w:r>
            <w:r>
              <w:t xml:space="preserve"> [S1]</w:t>
            </w:r>
          </w:p>
        </w:tc>
      </w:tr>
      <w:tr>
        <w:tc>
          <w:tcPr>
            <w:tcW w:type="dxa" w:w="4500"/>
          </w:tcPr>
          <w:p>
            <w:r>
              <w:t xml:space="preserve">Second factor required</w:t>
            </w:r>
          </w:p>
        </w:tc>
        <w:tc>
          <w:tcPr>
            <w:tcW w:type="dxa" w:w="4500"/>
          </w:tcPr>
          <w:p>
            <w:r>
              <w:t xml:space="preserve">Yes, on every login, every account</w:t>
            </w:r>
          </w:p>
        </w:tc>
      </w:tr>
    </w:tbl>
    <w:p/>
    <w:p>
      <w:r>
        <w:rPr>
          <w:b/>
          <w:bCs/>
        </w:rPr>
        <w:t xml:space="preserve">The Accounts-Payable Legacy Constraint (applies under either draft)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Characters actually stored</w:t>
            </w:r>
          </w:p>
        </w:tc>
        <w:tc>
          <w:tcPr>
            <w:tcW w:type="dxa" w:w="4500"/>
          </w:tcPr>
          <w:p>
            <w:r>
              <w:t xml:space="preserve">First 8 characters of whatever password is entered</w:t>
            </w:r>
          </w:p>
        </w:tc>
      </w:tr>
      <w:tr>
        <w:tc>
          <w:tcPr>
            <w:tcW w:type="dxa" w:w="4500"/>
          </w:tcPr>
          <w:p>
            <w:r>
              <w:t xml:space="preserve">Allowed character set actually stored</w:t>
            </w:r>
          </w:p>
        </w:tc>
        <w:tc>
          <w:tcPr>
            <w:tcW w:type="dxa" w:w="4500"/>
          </w:tcPr>
          <w:p>
            <w:r>
              <w:t xml:space="preserve">Lowercase letters and digits only</w:t>
            </w:r>
          </w:p>
        </w:tc>
      </w:tr>
      <w:tr>
        <w:tc>
          <w:tcPr>
            <w:tcW w:type="dxa" w:w="4500"/>
          </w:tcPr>
          <w:p>
            <w:r>
              <w:t xml:space="preserve">Character-set size</w:t>
            </w:r>
          </w:p>
        </w:tc>
        <w:tc>
          <w:tcPr>
            <w:tcW w:type="dxa" w:w="4500"/>
          </w:tcPr>
          <w:p>
            <w:r>
              <w:rPr>
                <w:b/>
                <w:bCs/>
              </w:rPr>
              <w:t xml:space="preserve">36</w:t>
            </w:r>
            <w:r>
              <w:t xml:space="preserve"> (26 lowercase + 10 digits) — the same character classes tabulated in [S1], recombined</w:t>
            </w:r>
          </w:p>
        </w:tc>
      </w:tr>
      <w:tr>
        <w:tc>
          <w:tcPr>
            <w:tcW w:type="dxa" w:w="4500"/>
          </w:tcPr>
          <w:p>
            <w:r>
              <w:t xml:space="preserve">Employees whose accounts touch this legacy system</w:t>
            </w:r>
          </w:p>
        </w:tc>
        <w:tc>
          <w:tcPr>
            <w:tcW w:type="dxa" w:w="4500"/>
          </w:tcPr>
          <w:p>
            <w:r>
              <w:rPr>
                <w:b/>
                <w:bCs/>
              </w:rPr>
              <w:t xml:space="preserve">80</w:t>
            </w:r>
            <w:r>
              <w:t xml:space="preserve"> (see Appendix E, MA2)</w:t>
            </w:r>
          </w:p>
        </w:tc>
      </w:tr>
    </w:tbl>
    <w:p/>
    <w:p>
      <w:pPr>
        <w:pStyle w:val="Heading2"/>
        <w:spacing w:after="120" w:before="240"/>
      </w:pPr>
      <w:r>
        <w:t xml:space="preserve">Appendix B — Offline Attack Benchmark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Sustained guess rate, modern offline attack against the company's stored password hashes</w:t>
            </w:r>
          </w:p>
        </w:tc>
        <w:tc>
          <w:tcPr>
            <w:tcW w:type="dxa" w:w="4500"/>
          </w:tcPr>
          <w:p>
            <w:r>
              <w:rPr>
                <w:b/>
                <w:bCs/>
              </w:rPr>
              <w:t xml:space="preserve">138,675 hashes/second</w:t>
            </w:r>
            <w:r>
              <w:t xml:space="preserve"> — a rented 16× Nvidia RTX 5090 GPU fleet (two racks of eight) cracking bcrypt at work factor 10, the 2026 benchmark rig [S1]</w:t>
            </w:r>
          </w:p>
        </w:tc>
      </w:tr>
      <w:tr>
        <w:tc>
          <w:tcPr>
            <w:tcW w:type="dxa" w:w="4500"/>
          </w:tcPr>
          <w:p>
            <w:r>
              <w:t xml:space="preserve">Seconds per year (for the compound-unit conversion in D2)</w:t>
            </w:r>
          </w:p>
        </w:tc>
        <w:tc>
          <w:tcPr>
            <w:tcW w:type="dxa" w:w="4500"/>
          </w:tcPr>
          <w:p>
            <w:r>
              <w:t xml:space="preserve">31,536,000 (365 × 24 × 60 × 60)</w:t>
            </w:r>
          </w:p>
        </w:tc>
      </w:tr>
    </w:tbl>
    <w:p/>
    <w:p>
      <w:r>
        <w:rPr>
          <w:b/>
          <w:bCs/>
        </w:rPr>
        <w:t xml:space="preserve">Worked check.</w:t>
      </w:r>
      <w:r>
        <w:t xml:space="preserve"> At this rate, an exhaustive search of the Second Gate's nominal 8-character, 70-symbol keyspace (576,480,100,000,000 combinations) takes 576,480,100,000,000 ÷ 138,675 s⁻¹ = 4,157,053,470 s ÷ 31,536,000 s/yr ≈ </w:t>
      </w:r>
      <w:r>
        <w:rPr>
          <w:b/>
          <w:bCs/>
        </w:rPr>
        <w:t xml:space="preserve">131.8 years</w:t>
      </w:r>
      <w:r>
        <w:t xml:space="preserve"> — matching Hive Systems' own published figure of </w:t>
      </w:r>
      <w:r>
        <w:rPr>
          <w:b/>
          <w:bCs/>
        </w:rPr>
        <w:t xml:space="preserve">132 years</w:t>
      </w:r>
      <w:r>
        <w:t xml:space="preserve"> for an 8-character password drawn from the full character mix [S1], to within rounding. This is the same benchmark rate used for every crack-time figure in this case (SEE Challenge 3, D2).</w:t>
      </w:r>
    </w:p>
    <w:p>
      <w:pPr>
        <w:pStyle w:val="Heading2"/>
        <w:spacing w:after="120" w:before="240"/>
      </w:pPr>
      <w:r>
        <w:t xml:space="preserve">Appendix C — Breach-Vector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Share of real-world breaches in which credential abuse — stolen, phished, or reused credentials — appears anywhere in the attack chain</w:t>
            </w:r>
          </w:p>
        </w:tc>
        <w:tc>
          <w:tcPr>
            <w:tcW w:type="dxa" w:w="4500"/>
          </w:tcPr>
          <w:p>
            <w:r>
              <w:rPr>
                <w:b/>
                <w:bCs/>
              </w:rPr>
              <w:t xml:space="preserve">39%</w:t>
            </w:r>
            <w:r>
              <w:t xml:space="preserve"> [S2]</w:t>
            </w:r>
          </w:p>
        </w:tc>
      </w:tr>
      <w:tr>
        <w:tc>
          <w:tcPr>
            <w:tcW w:type="dxa" w:w="4500"/>
          </w:tcPr>
          <w:p>
            <w:r>
              <w:t xml:space="preserve">Share of real-world breaches whose </w:t>
            </w:r>
            <w:r>
              <w:rPr>
                <w:i/>
                <w:iCs/>
              </w:rPr>
              <w:t xml:space="preserve">first</w:t>
            </w:r>
            <w:r>
              <w:t xml:space="preserve"> known access vector was credential abuse</w:t>
            </w:r>
          </w:p>
        </w:tc>
        <w:tc>
          <w:tcPr>
            <w:tcW w:type="dxa" w:w="4500"/>
          </w:tcPr>
          <w:p>
            <w:r>
              <w:t xml:space="preserve">13% under the 2026 report's revised category boundaries, or </w:t>
            </w:r>
            <w:r>
              <w:rPr>
                <w:b/>
                <w:bCs/>
              </w:rPr>
              <w:t xml:space="preserve">16%</w:t>
            </w:r>
            <w:r>
              <w:t xml:space="preserve"> on the prior year's category boundaries (comparable to earlier editions) [S2]</w:t>
            </w:r>
          </w:p>
        </w:tc>
      </w:tr>
      <w:tr>
        <w:tc>
          <w:tcPr>
            <w:tcW w:type="dxa" w:w="4500"/>
          </w:tcPr>
          <w:p>
            <w:r>
              <w:t xml:space="preserve">Share of real-world breaches whose first known access vector was vulnerability exploitation — a vector neither draft standard defends against</w:t>
            </w:r>
          </w:p>
        </w:tc>
        <w:tc>
          <w:tcPr>
            <w:tcW w:type="dxa" w:w="4500"/>
          </w:tcPr>
          <w:p>
            <w:r>
              <w:rPr>
                <w:b/>
                <w:bCs/>
              </w:rPr>
              <w:t xml:space="preserve">31%</w:t>
            </w:r>
            <w:r>
              <w:t xml:space="preserve"> [S2]</w:t>
            </w:r>
          </w:p>
        </w:tc>
      </w:tr>
      <w:tr>
        <w:tc>
          <w:tcPr>
            <w:tcW w:type="dxa" w:w="4500"/>
          </w:tcPr>
          <w:p>
            <w:r>
              <w:t xml:space="preserve">Rate at which a second authentication factor blocks account takeover, even when the attacker already holds a correct, un-phished password</w:t>
            </w:r>
          </w:p>
        </w:tc>
        <w:tc>
          <w:tcPr>
            <w:tcW w:type="dxa" w:w="4500"/>
          </w:tcPr>
          <w:p>
            <w:r>
              <w:rPr>
                <w:b/>
                <w:bCs/>
              </w:rPr>
              <w:t xml:space="preserve">98.56%</w:t>
            </w:r>
            <w:r>
              <w:t xml:space="preserve"> (risk reduction measured specifically on accounts whose password had already leaked) [S3]</w:t>
            </w:r>
          </w:p>
        </w:tc>
      </w:tr>
    </w:tbl>
    <w:p/>
    <w:p>
      <w:r>
        <w:t xml:space="preserve">*</w:t>
      </w:r>
      <w:r>
        <w:rPr>
          <w:i/>
          <w:iCs/>
        </w:rPr>
        <w:t xml:space="preserve">A figure this case does </w:t>
      </w:r>
      <w:r>
        <w:t xml:space="preserve">not</w:t>
      </w:r>
      <w:r>
        <w:rPr>
          <w:i/>
          <w:iCs/>
        </w:rPr>
        <w:t xml:space="preserve"> use, and why.</w:t>
      </w:r>
      <w:r>
        <w:rPr>
          <w:i/>
          <w:iCs/>
        </w:rPr>
        <w:t xml:space="preserve"> Published breach research does not isolate "pure brute-force guessing against an unknown password" as its own, separately measured category — Verizon's own 2026 report folds credential stuffing, password reuse, and brute-force guessing together with phished and stolen credentials into one "credential abuse" bucket, and states plainly that it cannot separate them further (SEE RESEARCH_LOG.md). Rather than invent a brute-force-only percentage that does not exist in the source, D4 uses the </w:t>
      </w:r>
      <w:r>
        <w:rPr>
          <w:i/>
          <w:iCs/>
        </w:rPr>
        <w:t xml:space="preserve">39% full-chain credential-abuse share</w:t>
      </w:r>
      <w:r>
        <w:rPr>
          <w:i/>
          <w:iCs/>
        </w:rPr>
        <w:t xml:space="preserve"> as the case's stated allocation of "the channel where the attacker holds a valid credential, however obtained," and treats the complementary </w:t>
      </w:r>
      <w:r>
        <w:rPr>
          <w:i/>
          <w:iCs/>
        </w:rPr>
        <w:t xml:space="preserve">61%</w:t>
      </w:r>
      <w:r>
        <w:t xml:space="preserve">* as the channel where the case's D2 crack-time figures are what actually governs the outcome (SEE APPENDIX E, MA3, for how the two channels are combined).</w:t>
      </w:r>
    </w:p>
    <w:p>
      <w:pPr>
        <w:pStyle w:val="Heading2"/>
        <w:spacing w:after="120" w:before="240"/>
      </w:pPr>
      <w:r>
        <w:t xml:space="preserve">Appendix D — Cost of Implementation and Support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Bramwell's employee headcount used to scale both standards</w:t>
            </w:r>
          </w:p>
        </w:tc>
        <w:tc>
          <w:tcPr>
            <w:tcW w:type="dxa" w:w="4500"/>
          </w:tcPr>
          <w:p>
            <w:r>
              <w:rPr>
                <w:b/>
                <w:bCs/>
              </w:rPr>
              <w:t xml:space="preserve">400</w:t>
            </w:r>
            <w:r>
              <w:t xml:space="preserve"> (see Appendix E, MA1)</w:t>
            </w:r>
          </w:p>
        </w:tc>
      </w:tr>
      <w:tr>
        <w:tc>
          <w:tcPr>
            <w:tcW w:type="dxa" w:w="4500"/>
          </w:tcPr>
          <w:p>
            <w:r>
              <w:t xml:space="preserve">The Long Wall — annual cost per employee</w:t>
            </w:r>
          </w:p>
        </w:tc>
        <w:tc>
          <w:tcPr>
            <w:tcW w:type="dxa" w:w="4500"/>
          </w:tcPr>
          <w:p>
            <w:r>
              <w:rPr>
                <w:b/>
                <w:bCs/>
              </w:rPr>
              <w:t xml:space="preserve">$60.00</w:t>
            </w:r>
            <w:r>
              <w:t xml:space="preserve"> = </w:t>
            </w:r>
            <w:r>
              <w:rPr>
                <w:b/>
                <w:bCs/>
              </w:rPr>
              <w:t xml:space="preserve">$48.00</w:t>
            </w:r>
            <w:r>
              <w:t xml:space="preserve"> business password-manager licensing, needed because a company-wide 14-character minimum is not practical to remember without one [S5], </w:t>
            </w:r>
            <w:r>
              <w:rPr>
                <w:b/>
                <w:bCs/>
              </w:rPr>
              <w:t xml:space="preserve">+ $12.00</w:t>
            </w:r>
            <w:r>
              <w:t xml:space="preserve"> assumed incremental help-desk cost from a higher forgotten-password rate (see Appendix E, MA4)</w:t>
            </w:r>
          </w:p>
        </w:tc>
      </w:tr>
      <w:tr>
        <w:tc>
          <w:tcPr>
            <w:tcW w:type="dxa" w:w="4500"/>
          </w:tcPr>
          <w:p>
            <w:r>
              <w:t xml:space="preserve">The Long Wall — annual cost, full headcount</w:t>
            </w:r>
          </w:p>
        </w:tc>
        <w:tc>
          <w:tcPr>
            <w:tcW w:type="dxa" w:w="4500"/>
          </w:tcPr>
          <w:p>
            <w:r>
              <w:rPr>
                <w:b/>
                <w:bCs/>
              </w:rPr>
              <w:t xml:space="preserve">$24,000.00</w:t>
            </w:r>
            <w:r>
              <w:t xml:space="preserve"> (400 × $60.00)</w:t>
            </w:r>
          </w:p>
        </w:tc>
      </w:tr>
      <w:tr>
        <w:tc>
          <w:tcPr>
            <w:tcW w:type="dxa" w:w="4500"/>
          </w:tcPr>
          <w:p>
            <w:r>
              <w:t xml:space="preserve">The Second Gate — annual cost per employee</w:t>
            </w:r>
          </w:p>
        </w:tc>
        <w:tc>
          <w:tcPr>
            <w:tcW w:type="dxa" w:w="4500"/>
          </w:tcPr>
          <w:p>
            <w:r>
              <w:rPr>
                <w:b/>
                <w:bCs/>
              </w:rPr>
              <w:t xml:space="preserve">$36.00</w:t>
            </w:r>
            <w:r>
              <w:t xml:space="preserve"> — Duo Essentials MFA, the entry-level paid tier that supports company-wide enforcement [S4]</w:t>
            </w:r>
          </w:p>
        </w:tc>
      </w:tr>
      <w:tr>
        <w:tc>
          <w:tcPr>
            <w:tcW w:type="dxa" w:w="4500"/>
          </w:tcPr>
          <w:p>
            <w:r>
              <w:t xml:space="preserve">The Second Gate — annual cost, full headcount</w:t>
            </w:r>
          </w:p>
        </w:tc>
        <w:tc>
          <w:tcPr>
            <w:tcW w:type="dxa" w:w="4500"/>
          </w:tcPr>
          <w:p>
            <w:r>
              <w:rPr>
                <w:b/>
                <w:bCs/>
              </w:rPr>
              <w:t xml:space="preserve">$14,400.00</w:t>
            </w:r>
            <w:r>
              <w:t xml:space="preserve"> (400 × $36.00)</w:t>
            </w:r>
          </w:p>
        </w:tc>
      </w:tr>
      <w:tr>
        <w:tc>
          <w:tcPr>
            <w:tcW w:type="dxa" w:w="4500"/>
          </w:tcPr>
          <w:p>
            <w:r>
              <w:t xml:space="preserve">Auditor's remediation deadline this policy responds to</w:t>
            </w:r>
          </w:p>
        </w:tc>
        <w:tc>
          <w:tcPr>
            <w:tcW w:type="dxa" w:w="4500"/>
          </w:tcPr>
          <w:p>
            <w:r>
              <w:t xml:space="preserve">Texture only — not load-bearing in any calculation. No dated figure is stated.</w:t>
            </w:r>
          </w:p>
        </w:tc>
      </w:tr>
    </w:tbl>
    <w:p/>
    <w:p>
      <w:r>
        <w:rPr>
          <w:b/>
          <w:bCs/>
        </w:rPr>
        <w:t xml:space="preserve">A widely repeated figure this case excludes.</w:t>
      </w:r>
      <w:r>
        <w:t xml:space="preserve"> Industry articles commonly cite "$70 per help-desk password reset," usually attributed to Forrester Research. No dated, primary Forrester publication stating that figure could be located and fetched in this session — every citation found was a secondary repetition of the same unlinked number (SEE RESEARCH_LOG.md). Per this project's sourcing standard, an unverifiable widely repeated figure is excluded rather than used; Appendix E, MA4 states a smaller, explicitly unsourced assumption in its place.</w:t>
      </w:r>
    </w:p>
    <w:p>
      <w:pPr>
        <w:pStyle w:val="Heading2"/>
        <w:spacing w:after="120" w:before="240"/>
      </w:pPr>
      <w:r>
        <w:t xml:space="preserve">Appendix E — Modeling Assumptions</w:t>
      </w:r>
    </w:p>
    <w:p>
      <w:pPr>
        <w:ind w:left="480"/>
      </w:pPr>
      <w:r>
        <w:t xml:space="preserve">These figures are </w:t>
      </w:r>
      <w:r>
        <w:rPr>
          <w:b/>
          <w:bCs/>
        </w:rPr>
        <w:t xml:space="preserve">not sourced</w:t>
      </w:r>
      <w:r>
        <w:t xml:space="preserve">. They are stated scenario assumptions chosen by the case author. A Hero may challenge them in discussion — that is a legitimate move, and APPENDIX H names the skills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Bramwell's employee headcount</w:t>
            </w:r>
          </w:p>
        </w:tc>
        <w:tc>
          <w:tcPr>
            <w:tcW w:type="dxa" w:w="1800"/>
          </w:tcPr>
          <w:p>
            <w:r>
              <w:rPr>
                <w:b/>
                <w:bCs/>
              </w:rPr>
              <w:t xml:space="preserve">400 employees</w:t>
            </w:r>
          </w:p>
        </w:tc>
        <w:tc>
          <w:tcPr>
            <w:tcW w:type="dxa" w:w="1800"/>
          </w:tcPr>
          <w:p>
            <w:r>
              <w:t xml:space="preserve">Bramwell is fictional. 400 sits in the middle of the commonly used 100–999 employee band for "mid-size company."</w:t>
            </w:r>
          </w:p>
        </w:tc>
        <w:tc>
          <w:tcPr>
            <w:tcW w:type="dxa" w:w="1800"/>
          </w:tcPr>
          <w:p>
            <w:r>
              <w:t xml:space="preserve">Scales both options' total dollar cost identically (D5's per-employee metric is unaffected) and scales D3's pigeonhole comparison headcount proportionally. Does not change which option wins D5's per-employee metric.</w:t>
            </w:r>
          </w:p>
        </w:tc>
      </w:tr>
      <w:tr>
        <w:tc>
          <w:tcPr>
            <w:tcW w:type="dxa" w:w="1800"/>
          </w:tcPr>
          <w:p>
            <w:r>
              <w:t xml:space="preserve">MA2</w:t>
            </w:r>
          </w:p>
        </w:tc>
        <w:tc>
          <w:tcPr>
            <w:tcW w:type="dxa" w:w="1800"/>
          </w:tcPr>
          <w:p>
            <w:r>
              <w:t xml:space="preserve">Fraction of Bramwell's employees whose accounts touch the accounts-payable legacy system</w:t>
            </w:r>
          </w:p>
        </w:tc>
        <w:tc>
          <w:tcPr>
            <w:tcW w:type="dxa" w:w="1800"/>
          </w:tcPr>
          <w:p>
            <w:r>
              <w:rPr>
                <w:b/>
                <w:bCs/>
              </w:rPr>
              <w:t xml:space="preserve">20% (80 employees)</w:t>
            </w:r>
          </w:p>
        </w:tc>
        <w:tc>
          <w:tcPr>
            <w:tcW w:type="dxa" w:w="1800"/>
          </w:tcPr>
          <w:p>
            <w:r>
              <w:t xml:space="preserve">No real company's finance-system access list is public; 20% is a plausible finance/accounts-payable-adjacent share for a mid-size firm.</w:t>
            </w:r>
          </w:p>
        </w:tc>
        <w:tc>
          <w:tcPr>
            <w:tcW w:type="dxa" w:w="1800"/>
          </w:tcPr>
          <w:p>
            <w:r>
              <w:t xml:space="preserve">Directly sets the headcount D3 compares against the pigeonhole guarantee threshold. Because that threshold (2,821,109,907,457) exceeds any plausible employee count by nine to eleven orders of magnitude, no realistic value of MA2 changes D3's conclusion.</w:t>
            </w:r>
          </w:p>
        </w:tc>
      </w:tr>
      <w:tr>
        <w:tc>
          <w:tcPr>
            <w:tcW w:type="dxa" w:w="1800"/>
          </w:tcPr>
          <w:p>
            <w:r>
              <w:t xml:space="preserve">MA3</w:t>
            </w:r>
          </w:p>
        </w:tc>
        <w:tc>
          <w:tcPr>
            <w:tcW w:type="dxa" w:w="1800"/>
          </w:tcPr>
          <w:p>
            <w:r>
              <w:t xml:space="preserve">Annual rate at which a given employee account experiences a </w:t>
            </w:r>
            <w:r>
              <w:rPr>
                <w:i/>
                <w:iCs/>
              </w:rPr>
              <w:t xml:space="preserve">successful</w:t>
            </w:r>
            <w:r>
              <w:t xml:space="preserve"> credential-theft or phishing-based compromise attempt (used to combine Appendix B's crack-time channel with Appendix C's credential-abuse channel in D5)</w:t>
            </w:r>
          </w:p>
        </w:tc>
        <w:tc>
          <w:tcPr>
            <w:tcW w:type="dxa" w:w="1800"/>
          </w:tcPr>
          <w:p>
            <w:r>
              <w:rPr>
                <w:b/>
                <w:bCs/>
              </w:rPr>
              <w:t xml:space="preserve">0.008 (0.8% of employee accounts per year)</w:t>
            </w:r>
          </w:p>
        </w:tc>
        <w:tc>
          <w:tcPr>
            <w:tcW w:type="dxa" w:w="1800"/>
          </w:tcPr>
          <w:p>
            <w:r>
              <w:t xml:space="preserve">No public source states an annual per-account success rate for this specific event. Deliberately conservative — well below commonly cited employee phishing-</w:t>
            </w:r>
            <w:r>
              <w:rPr>
                <w:i/>
                <w:iCs/>
              </w:rPr>
              <w:t xml:space="preserve">susceptibility</w:t>
            </w:r>
            <w:r>
              <w:t xml:space="preserve"> rates, which describe click-throughs rather than completed credential theft. This is the case's most load-bearing, least certain dial, stated openly rather than buried in D5's table.</w:t>
            </w:r>
          </w:p>
        </w:tc>
        <w:tc>
          <w:tcPr>
            <w:tcW w:type="dxa" w:w="1800"/>
          </w:tcPr>
          <w:p>
            <w:r>
              <w:t xml:space="preserve">The primary metric weights the credential-abuse channel directly by this rate, so </w:t>
            </w:r>
            <w:r>
              <w:rPr>
                <w:b/>
                <w:bCs/>
              </w:rPr>
              <w:t xml:space="preserve">the final comparison is sensitive to this value.</w:t>
            </w:r>
            <w:r>
              <w:t xml:space="preserve"> A Hero who argues Bramwell's employees are meaningfully more or less phishing-prone than this assumption has found the case's real fault line — that argument is worth making with numbers, not just intuition.</w:t>
            </w:r>
          </w:p>
        </w:tc>
      </w:tr>
      <w:tr>
        <w:tc>
          <w:tcPr>
            <w:tcW w:type="dxa" w:w="1800"/>
          </w:tcPr>
          <w:p>
            <w:r>
              <w:t xml:space="preserve">MA4</w:t>
            </w:r>
          </w:p>
        </w:tc>
        <w:tc>
          <w:tcPr>
            <w:tcW w:type="dxa" w:w="1800"/>
          </w:tcPr>
          <w:p>
            <w:r>
              <w:t xml:space="preserve">The Long Wall's incremental annual help-desk cost per employee, beyond password-manager licensing, from a higher forgotten-password rate under a 14-character minimum</w:t>
            </w:r>
          </w:p>
        </w:tc>
        <w:tc>
          <w:tcPr>
            <w:tcW w:type="dxa" w:w="1800"/>
          </w:tcPr>
          <w:p>
            <w:r>
              <w:rPr>
                <w:b/>
                <w:bCs/>
              </w:rPr>
              <w:t xml:space="preserve">$12.00 per employee per year</w:t>
            </w:r>
          </w:p>
        </w:tc>
        <w:tc>
          <w:tcPr>
            <w:tcW w:type="dxa" w:w="1800"/>
          </w:tcPr>
          <w:p>
            <w:r>
              <w:t xml:space="preserve">No independently verifiable per-employee figure exists (SEE APPENDIX D — the commonly repeated "$70 per reset" figure is excluded as unsourced). $12 is a stated, modest placeholder scenario value, deliberately small relative to the sourced $48 password-manager cost it sits beside.</w:t>
            </w:r>
          </w:p>
        </w:tc>
        <w:tc>
          <w:tcPr>
            <w:tcW w:type="dxa" w:w="1800"/>
          </w:tcPr>
          <w:p>
            <w:r>
              <w:t xml:space="preserve">Adds linearly to The Long Wall's per-employee cost ($48 + MA4). </w:t>
            </w:r>
            <w:r>
              <w:rPr>
                <w:b/>
                <w:bCs/>
              </w:rPr>
              <w:t xml:space="preserve">The final comparison is sensitive to this value</w:t>
            </w:r>
            <w:r>
              <w:t xml:space="preserve">, since it moves Option A's cost denominator directly; a Hero who thinks Bramwell's actual help-desk load would run higher or lower than this placeholder has a legitimate lever to pull on.</w:t>
            </w:r>
          </w:p>
        </w:tc>
      </w:tr>
    </w:tbl>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Offline password-cracking benchmark rate, hashing algorithm, and the character-set composition used to build it</w:t>
            </w:r>
          </w:p>
        </w:tc>
        <w:tc>
          <w:tcPr>
            <w:tcW w:type="dxa" w:w="1500"/>
          </w:tcPr>
          <w:p>
            <w:r>
              <w:t xml:space="preserve">138,675 H/s aggregate, 16× RTX 5090 fleet, bcrypt cost factor 10; charset = 26 lower + 26 upper + 10 digit + 8 symbol = 70; 8-char full-mix crack time 132 years</w:t>
            </w:r>
          </w:p>
        </w:tc>
        <w:tc>
          <w:tcPr>
            <w:tcW w:type="dxa" w:w="1500"/>
          </w:tcPr>
          <w:p>
            <w:r>
              <w:t xml:space="preserve">Hive Systems, </w:t>
            </w:r>
            <w:r>
              <w:rPr>
                <w:i/>
                <w:iCs/>
              </w:rPr>
              <w:t xml:space="preserve">2026 Password Table</w:t>
            </w:r>
            <w:r>
              <w:t xml:space="preserve"> (</w:t>
            </w:r>
            <w:hyperlink w:history="1" r:id="rId9-c5kfja3q__gnk8c6t1k">
              <w:r>
                <w:rPr>
                  <w:rStyle w:val="Hyperlink"/>
                </w:rPr>
                <w:t xml:space="preserve">landing page</w:t>
              </w:r>
            </w:hyperlink>
            <w:r>
              <w:t xml:space="preserve">) and </w:t>
            </w:r>
            <w:r>
              <w:rPr>
                <w:i/>
                <w:iCs/>
              </w:rPr>
              <w:t xml:space="preserve">"The 2026 Password Table Is Here: How Fast Can a Hacker Crack Your Password?"</w:t>
            </w:r>
            <w:r>
              <w:t xml:space="preserve"> (</w:t>
            </w:r>
            <w:hyperlink w:history="1" r:id="rIdh19syznkxx3tz-fs1akxd">
              <w:r>
                <w:rPr>
                  <w:rStyle w:val="Hyperlink"/>
                </w:rPr>
                <w:t xml:space="preserve">article</w:t>
              </w:r>
            </w:hyperlink>
            <w:r>
              <w:t xml:space="preserve">)</w:t>
            </w:r>
          </w:p>
        </w:tc>
        <w:tc>
          <w:tcPr>
            <w:tcW w:type="dxa" w:w="1500"/>
          </w:tcPr>
          <w:p>
            <w:r>
              <w:t xml:space="preserve">2026-08-13</w:t>
            </w:r>
          </w:p>
        </w:tc>
        <w:tc>
          <w:tcPr>
            <w:tcW w:type="dxa" w:w="1500"/>
          </w:tcPr>
          <w:p>
            <w:r>
              <w:t xml:space="preserve">HIGH — a named, dated, primary benchmark publisher; this case's own from-scratch recomputation of the 8-character full-mix crack time from the stated rate and charset (131.8 years) matches Hive Systems' own published 132-year figure to within rounding, an independent cross-check</w:t>
            </w:r>
          </w:p>
        </w:tc>
      </w:tr>
      <w:tr>
        <w:tc>
          <w:tcPr>
            <w:tcW w:type="dxa" w:w="1500"/>
          </w:tcPr>
          <w:p>
            <w:r>
              <w:t xml:space="preserve">S2</w:t>
            </w:r>
          </w:p>
        </w:tc>
        <w:tc>
          <w:tcPr>
            <w:tcW w:type="dxa" w:w="1500"/>
          </w:tcPr>
          <w:p>
            <w:r>
              <w:t xml:space="preserve">Share of breaches involving credential abuse (full chain and initial-vector), and share whose initial vector was vulnerability exploitation</w:t>
            </w:r>
          </w:p>
        </w:tc>
        <w:tc>
          <w:tcPr>
            <w:tcW w:type="dxa" w:w="1500"/>
          </w:tcPr>
          <w:p>
            <w:r>
              <w:t xml:space="preserve">Credential abuse in the full breach chain: 39%; initial-vector credential abuse: 13% (16% on prior-year category boundaries); initial-vector vulnerability exploitation: 31%</w:t>
            </w:r>
          </w:p>
        </w:tc>
        <w:tc>
          <w:tcPr>
            <w:tcW w:type="dxa" w:w="1500"/>
          </w:tcPr>
          <w:p>
            <w:r>
              <w:t xml:space="preserve">Verizon, </w:t>
            </w:r>
            <w:r>
              <w:rPr>
                <w:i/>
                <w:iCs/>
              </w:rPr>
              <w:t xml:space="preserve">2026 Data Breach Investigations Report</w:t>
            </w:r>
            <w:r>
              <w:t xml:space="preserve"> (verizon.com/dbir) — figures corroborated identically across three independent secondary summaries: Descope (</w:t>
            </w:r>
            <w:hyperlink w:history="1" r:id="rIdi01-dytxb4bqjh2y031xc">
              <w:r>
                <w:rPr>
                  <w:rStyle w:val="Hyperlink"/>
                </w:rPr>
                <w:t xml:space="preserve">link</w:t>
              </w:r>
            </w:hyperlink>
            <w:r>
              <w:t xml:space="preserve">), Push Security (</w:t>
            </w:r>
            <w:hyperlink w:history="1" r:id="rIdvpl1ma4kdi1mcfbsmetfu">
              <w:r>
                <w:rPr>
                  <w:rStyle w:val="Hyperlink"/>
                </w:rPr>
                <w:t xml:space="preserve">link</w:t>
              </w:r>
            </w:hyperlink>
            <w:r>
              <w:t xml:space="preserve">), and Tech Insider (</w:t>
            </w:r>
            <w:hyperlink w:history="1" r:id="rIdwywgiduswmsihnnsmzzc1">
              <w:r>
                <w:rPr>
                  <w:rStyle w:val="Hyperlink"/>
                </w:rPr>
                <w:t xml:space="preserve">link</w:t>
              </w:r>
            </w:hyperlink>
            <w:r>
              <w:t xml:space="preserve">)</w:t>
            </w:r>
          </w:p>
        </w:tc>
        <w:tc>
          <w:tcPr>
            <w:tcW w:type="dxa" w:w="1500"/>
          </w:tcPr>
          <w:p>
            <w:r>
              <w:t xml:space="preserve">2026-08-13</w:t>
            </w:r>
          </w:p>
        </w:tc>
        <w:tc>
          <w:tcPr>
            <w:tcW w:type="dxa" w:w="1500"/>
          </w:tcPr>
          <w:p>
            <w:r>
              <w:t xml:space="preserve">MEDIUM — this case could not directly fetch readable text from Verizon's own PDF (binary/encoded response); the figures are used on the strength of three independent secondary sources reporting the same numbers from the named primary report, which is the case-research procedure's Tier-3 standard, not Tier-1</w:t>
            </w:r>
          </w:p>
        </w:tc>
      </w:tr>
      <w:tr>
        <w:tc>
          <w:tcPr>
            <w:tcW w:type="dxa" w:w="1500"/>
          </w:tcPr>
          <w:p>
            <w:r>
              <w:t xml:space="preserve">S3</w:t>
            </w:r>
          </w:p>
        </w:tc>
        <w:tc>
          <w:tcPr>
            <w:tcW w:type="dxa" w:w="1500"/>
          </w:tcPr>
          <w:p>
            <w:r>
              <w:t xml:space="preserve">Reduction in account-compromise risk from multi-factor authentication, measured specifically on accounts whose password had already leaked</w:t>
            </w:r>
          </w:p>
        </w:tc>
        <w:tc>
          <w:tcPr>
            <w:tcW w:type="dxa" w:w="1500"/>
          </w:tcPr>
          <w:p>
            <w:r>
              <w:t xml:space="preserve">98.56% risk reduction (and 99.22% across the full population)</w:t>
            </w:r>
          </w:p>
        </w:tc>
        <w:tc>
          <w:tcPr>
            <w:tcW w:type="dxa" w:w="1500"/>
          </w:tcPr>
          <w:p>
            <w:r>
              <w:t xml:space="preserve">Meyer, L.A., Romero, S., Bertoli, G., Burt, T., Weinert, A., Lavista Ferres, J. (Microsoft Research), </w:t>
            </w:r>
            <w:r>
              <w:rPr>
                <w:i/>
                <w:iCs/>
              </w:rPr>
              <w:t xml:space="preserve">"How effective is multifactor authentication at deterring cyberattacks?"</w:t>
            </w:r>
            <w:r>
              <w:t xml:space="preserve">, May 2023 (</w:t>
            </w:r>
            <w:hyperlink w:history="1" r:id="rIdd1vfqtqihy1au7k4aw6hv">
              <w:r>
                <w:rPr>
                  <w:rStyle w:val="Hyperlink"/>
                </w:rPr>
                <w:t xml:space="preserve">arXiv:2305.00945</w:t>
              </w:r>
            </w:hyperlink>
            <w:r>
              <w:t xml:space="preserve">)</w:t>
            </w:r>
          </w:p>
        </w:tc>
        <w:tc>
          <w:tcPr>
            <w:tcW w:type="dxa" w:w="1500"/>
          </w:tcPr>
          <w:p>
            <w:r>
              <w:t xml:space="preserve">2026-08-13</w:t>
            </w:r>
          </w:p>
        </w:tc>
        <w:tc>
          <w:tcPr>
            <w:tcW w:type="dxa" w:w="1500"/>
          </w:tcPr>
          <w:p>
            <w:r>
              <w:t xml:space="preserve">HIGH — a named, authored measurement study of Azure Active Directory accounts, not a marketing claim; independently corroborated by a secondary summary (</w:t>
            </w:r>
            <w:hyperlink w:history="1" r:id="rIdoptdch_wqbxstyyg3wc_i">
              <w:r>
                <w:rPr>
                  <w:rStyle w:val="Hyperlink"/>
                </w:rPr>
                <w:t xml:space="preserve">securityscientist.net</w:t>
              </w:r>
            </w:hyperlink>
            <w:r>
              <w:t xml:space="preserve">) quoting the identical figures</w:t>
            </w:r>
          </w:p>
        </w:tc>
      </w:tr>
      <w:tr>
        <w:tc>
          <w:tcPr>
            <w:tcW w:type="dxa" w:w="1500"/>
          </w:tcPr>
          <w:p>
            <w:r>
              <w:t xml:space="preserve">S4</w:t>
            </w:r>
          </w:p>
        </w:tc>
        <w:tc>
          <w:tcPr>
            <w:tcW w:type="dxa" w:w="1500"/>
          </w:tcPr>
          <w:p>
            <w:r>
              <w:t xml:space="preserve">The Second Gate — per-seat price of the entry-level paid MFA tier suitable for company-wide enforcement</w:t>
            </w:r>
          </w:p>
        </w:tc>
        <w:tc>
          <w:tcPr>
            <w:tcW w:type="dxa" w:w="1500"/>
          </w:tcPr>
          <w:p>
            <w:r>
              <w:t xml:space="preserve">$3.00 per user per month ($36.00/year)</w:t>
            </w:r>
          </w:p>
        </w:tc>
        <w:tc>
          <w:tcPr>
            <w:tcW w:type="dxa" w:w="1500"/>
          </w:tcPr>
          <w:p>
            <w:r>
              <w:t xml:space="preserve">Cisco, </w:t>
            </w:r>
            <w:r>
              <w:rPr>
                <w:i/>
                <w:iCs/>
              </w:rPr>
              <w:t xml:space="preserve">Duo Editions and Pricing</w:t>
            </w:r>
            <w:r>
              <w:t xml:space="preserve">, "Essentials" tier (</w:t>
            </w:r>
            <w:hyperlink w:history="1" r:id="rId3-spczck3dipbmhujv5jm">
              <w:r>
                <w:rPr>
                  <w:rStyle w:val="Hyperlink"/>
                </w:rPr>
                <w:t xml:space="preserve">link</w:t>
              </w:r>
            </w:hyperlink>
            <w:r>
              <w:t xml:space="preserve">)</w:t>
            </w:r>
          </w:p>
        </w:tc>
        <w:tc>
          <w:tcPr>
            <w:tcW w:type="dxa" w:w="1500"/>
          </w:tcPr>
          <w:p>
            <w:r>
              <w:t xml:space="preserve">2026-08-13</w:t>
            </w:r>
          </w:p>
        </w:tc>
        <w:tc>
          <w:tcPr>
            <w:tcW w:type="dxa" w:w="1500"/>
          </w:tcPr>
          <w:p>
            <w:r>
              <w:t xml:space="preserve">HIGH — primary vendor pricing page, fetched directly</w:t>
            </w:r>
          </w:p>
        </w:tc>
      </w:tr>
      <w:tr>
        <w:tc>
          <w:tcPr>
            <w:tcW w:type="dxa" w:w="1500"/>
          </w:tcPr>
          <w:p>
            <w:r>
              <w:t xml:space="preserve">S5</w:t>
            </w:r>
          </w:p>
        </w:tc>
        <w:tc>
          <w:tcPr>
            <w:tcW w:type="dxa" w:w="1500"/>
          </w:tcPr>
          <w:p>
            <w:r>
              <w:t xml:space="preserve">The Long Wall — per-seat price of a business password manager</w:t>
            </w:r>
          </w:p>
        </w:tc>
        <w:tc>
          <w:tcPr>
            <w:tcW w:type="dxa" w:w="1500"/>
          </w:tcPr>
          <w:p>
            <w:r>
              <w:t xml:space="preserve">$4.00 per user per month ($48.00/year)</w:t>
            </w:r>
          </w:p>
        </w:tc>
        <w:tc>
          <w:tcPr>
            <w:tcW w:type="dxa" w:w="1500"/>
          </w:tcPr>
          <w:p>
            <w:r>
              <w:t xml:space="preserve">Bitwarden, </w:t>
            </w:r>
            <w:r>
              <w:rPr>
                <w:i/>
                <w:iCs/>
              </w:rPr>
              <w:t xml:space="preserve">Pricing</w:t>
            </w:r>
            <w:r>
              <w:t xml:space="preserve">, "Teams" plan (</w:t>
            </w:r>
            <w:hyperlink w:history="1" r:id="rId4qtlaoyhmdsmo1bu4-vss">
              <w:r>
                <w:rPr>
                  <w:rStyle w:val="Hyperlink"/>
                </w:rPr>
                <w:t xml:space="preserve">link</w:t>
              </w:r>
            </w:hyperlink>
            <w:r>
              <w:t xml:space="preserve">)</w:t>
            </w:r>
          </w:p>
        </w:tc>
        <w:tc>
          <w:tcPr>
            <w:tcW w:type="dxa" w:w="1500"/>
          </w:tcPr>
          <w:p>
            <w:r>
              <w:t xml:space="preserve">2026-08-13</w:t>
            </w:r>
          </w:p>
        </w:tc>
        <w:tc>
          <w:tcPr>
            <w:tcW w:type="dxa" w:w="1500"/>
          </w:tcPr>
          <w:p>
            <w:r>
              <w:t xml:space="preserve">HIGH — primary vendor pricing page, fetched directly</w:t>
            </w:r>
          </w:p>
        </w:tc>
      </w:tr>
    </w:tbl>
    <w:p/>
    <w:p>
      <w:pPr>
        <w:pStyle w:val="Heading2"/>
        <w:spacing w:after="120" w:before="240"/>
      </w:pPr>
      <w:r>
        <w:t xml:space="preserve">Appendix G — Learn More</w:t>
      </w:r>
    </w:p>
    <w:p>
      <w:r>
        <w:t xml:space="preserve">These are real, currently-live resources for a Hero who wants to go beyond this case's required math and read more about password security, credential theft, and multi-factor authentication in the real world. They are optional background, not graded content.</w:t>
      </w:r>
    </w:p>
    <w:p>
      <w:pPr>
        <w:ind w:left="360"/>
      </w:pPr>
      <w:r>
        <w:t xml:space="preserve">- </w:t>
      </w:r>
      <w:hyperlink w:history="1" r:id="rIdf1ufj9yxlpol91hqw5wob">
        <w:r>
          <w:rPr>
            <w:rStyle w:val="Hyperlink"/>
          </w:rPr>
          <w:t xml:space="preserve">NIST Special Publication 800-63B — Digital Identity Guidelines: Authentication and Authenticator Management</w:t>
        </w:r>
      </w:hyperlink>
      <w:r>
        <w:t xml:space="preserve"> — the U.S. government's own current technical standard for password length, composition, and multi-factor authenticator requirements, the real-world rulebook both draft standards in this case are trying to satisfy.</w:t>
      </w:r>
    </w:p>
    <w:p>
      <w:pPr>
        <w:ind w:left="360"/>
      </w:pPr>
      <w:r>
        <w:t xml:space="preserve">- </w:t>
      </w:r>
      <w:hyperlink w:history="1" r:id="rIdld-ygbp2yd-qnknughzkq">
        <w:r>
          <w:rPr>
            <w:rStyle w:val="Hyperlink"/>
          </w:rPr>
          <w:t xml:space="preserve">Have I Been Pwned</w:t>
        </w:r>
      </w:hyperlink>
      <w:r>
        <w:t xml:space="preserve"> — a free, widely used breach-notification service where anyone can check whether an email address or password has appeared in a known data breach, the same kind of leaked-credential data that fuels the credential-stuffing attack Renata is watching.</w:t>
      </w:r>
    </w:p>
    <w:p>
      <w:pPr>
        <w:ind w:left="360"/>
      </w:pPr>
      <w:r>
        <w:t xml:space="preserve">- </w:t>
      </w:r>
      <w:hyperlink w:history="1" r:id="rIdof6eagyu08zopuihgcnnw">
        <w:r>
          <w:rPr>
            <w:rStyle w:val="Hyperlink"/>
          </w:rPr>
          <w:t xml:space="preserve">Krebs on Security — "Credential Stuffing" coverage</w:t>
        </w:r>
      </w:hyperlink>
      <w:r>
        <w:t xml:space="preserve"> — ongoing reporting by security journalist Brian Krebs on real credential-stuffing incidents and the forced password resets companies use to respond to them.</w:t>
      </w:r>
    </w:p>
    <w:p>
      <w:pPr>
        <w:ind w:left="360"/>
      </w:pPr>
      <w:r>
        <w:t xml:space="preserve">- </w:t>
      </w:r>
      <w:hyperlink w:history="1" r:id="rIdfzs8v9wacv0dlknrxe-c9">
        <w:r>
          <w:rPr>
            <w:rStyle w:val="Hyperlink"/>
          </w:rPr>
          <w:t xml:space="preserve">Microsoft Security Blog — "One simple action you can take to prevent 99.9 percent of account attacks"</w:t>
        </w:r>
      </w:hyperlink>
      <w:r>
        <w:t xml:space="preserve"> — Microsoft's own accessible summary of the multi-factor-authentication research this case draws on in Appendix F, S3.</w:t>
      </w:r>
    </w:p>
    <w:p>
      <w:pPr>
        <w:ind w:left="360"/>
      </w:pPr>
      <w:r>
        <w:t xml:space="preserve">- </w:t>
      </w:r>
      <w:hyperlink w:history="1" r:id="rIdmy2f5jd-wizfkfxeytle7">
        <w:r>
          <w:rPr>
            <w:rStyle w:val="Hyperlink"/>
          </w:rPr>
          <w:t xml:space="preserve">Computerphile — "Password Cracking"</w:t>
        </w:r>
      </w:hyperlink>
      <w:r>
        <w:t xml:space="preserve"> — a short video from the University of Nottingham's Computerphile channel explaining, in plain terms, how real offline password-cracking attacks like the one in Appendix B actually work.</w:t>
      </w:r>
    </w:p>
    <w:p>
      <w:pPr>
        <w:pStyle w:val="Heading2"/>
        <w:spacing w:after="120" w:before="240"/>
      </w:pPr>
      <w:r>
        <w:t xml:space="preserve">Appendix H — "How To…" Math Questions To Research</w:t>
      </w:r>
    </w:p>
    <w:p>
      <w:r>
        <w:rPr>
          <w:b/>
          <w:bCs/>
        </w:rPr>
        <w:t xml:space="preserve">Vocabulary terms</w:t>
      </w:r>
    </w:p>
    <w:p>
      <w:pPr>
        <w:ind w:left="360"/>
      </w:pPr>
      <w:r>
        <w:t xml:space="preserve">- Fundamental Counting Principle</w:t>
      </w:r>
    </w:p>
    <w:p>
      <w:pPr>
        <w:ind w:left="360"/>
      </w:pPr>
      <w:r>
        <w:t xml:space="preserve">- Pigeonhole Principle</w:t>
      </w:r>
    </w:p>
    <w:p>
      <w:r>
        <w:rPr>
          <w:b/>
          <w:bCs/>
        </w:rPr>
        <w:t xml:space="preserve">"How to…" questions</w:t>
      </w:r>
    </w:p>
    <w:p>
      <w:pPr>
        <w:ind w:left="360"/>
      </w:pPr>
      <w:r>
        <w:t xml:space="preserve">- How to apply the Fundamental Counting Principle to count outcomes</w:t>
      </w:r>
    </w:p>
    <w:p>
      <w:pPr>
        <w:ind w:left="360"/>
      </w:pPr>
      <w:r>
        <w:t xml:space="preserve">- How to convert an amount with compound units</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c5kfja3q__gnk8c6t1k" Type="http://schemas.openxmlformats.org/officeDocument/2006/relationships/hyperlink" Target="https://www.hivesystems.com/password-table" TargetMode="External"/><Relationship Id="rIdh19syznkxx3tz-fs1akxd" Type="http://schemas.openxmlformats.org/officeDocument/2006/relationships/hyperlink" Target="https://www.hivesystems.com/blog/are-your-passwords-in-the-green" TargetMode="External"/><Relationship Id="rIdi01-dytxb4bqjh2y031xc" Type="http://schemas.openxmlformats.org/officeDocument/2006/relationships/hyperlink" Target="https://www.descope.com/blog/post/verizon-dbir-2026" TargetMode="External"/><Relationship Id="rIdvpl1ma4kdi1mcfbsmetfu" Type="http://schemas.openxmlformats.org/officeDocument/2006/relationships/hyperlink" Target="https://pushsecurity.com/blog/verizon-dbir-2026-review" TargetMode="External"/><Relationship Id="rIdwywgiduswmsihnnsmzzc1" Type="http://schemas.openxmlformats.org/officeDocument/2006/relationships/hyperlink" Target="https://tech-insider.org/verizon-dbir-2026/" TargetMode="External"/><Relationship Id="rIdd1vfqtqihy1au7k4aw6hv" Type="http://schemas.openxmlformats.org/officeDocument/2006/relationships/hyperlink" Target="https://arxiv.org/abs/2305.00945" TargetMode="External"/><Relationship Id="rIdoptdch_wqbxstyyg3wc_i" Type="http://schemas.openxmlformats.org/officeDocument/2006/relationships/hyperlink" Target="https://www.securityscientist.net/blog/how-effective-is-mfa/" TargetMode="External"/><Relationship Id="rId3-spczck3dipbmhujv5jm" Type="http://schemas.openxmlformats.org/officeDocument/2006/relationships/hyperlink" Target="https://duo.com/editions-and-pricing" TargetMode="External"/><Relationship Id="rId4qtlaoyhmdsmo1bu4-vss" Type="http://schemas.openxmlformats.org/officeDocument/2006/relationships/hyperlink" Target="https://bitwarden.com/pricing/" TargetMode="External"/><Relationship Id="rIdf1ufj9yxlpol91hqw5wob" Type="http://schemas.openxmlformats.org/officeDocument/2006/relationships/hyperlink" Target="https://pages.nist.gov/800-63-4/sp800-63b.html" TargetMode="External"/><Relationship Id="rIdld-ygbp2yd-qnknughzkq" Type="http://schemas.openxmlformats.org/officeDocument/2006/relationships/hyperlink" Target="https://haveibeenpwned.com/" TargetMode="External"/><Relationship Id="rIdof6eagyu08zopuihgcnnw" Type="http://schemas.openxmlformats.org/officeDocument/2006/relationships/hyperlink" Target="https://krebsonsecurity.com/tag/credential-stuffing/" TargetMode="External"/><Relationship Id="rIdfzs8v9wacv0dlknrxe-c9" Type="http://schemas.openxmlformats.org/officeDocument/2006/relationships/hyperlink" Target="https://www.microsoft.com/en-us/security/blog/2019/08/20/one-simple-action-you-can-take-to-prevent-99-9-percent-of-account-attacks/" TargetMode="External"/><Relationship Id="rIdmy2f5jd-wizfkfxeytle7" Type="http://schemas.openxmlformats.org/officeDocument/2006/relationships/hyperlink" Target="https://www.youtube.com/watch?v=7U-RbOKanY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2026-08-18T07:43:16.344Z</dcterms:created>
  <dcterms:modified xsi:type="dcterms:W3CDTF">2026-08-18T07:43:16.345Z</dcterms:modified>
</cp:coreProperties>
</file>

<file path=docProps/custom.xml><?xml version="1.0" encoding="utf-8"?>
<Properties xmlns="http://schemas.openxmlformats.org/officeDocument/2006/custom-properties" xmlns:vt="http://schemas.openxmlformats.org/officeDocument/2006/docPropsVTypes"/>
</file>