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Facilitator Guide: The Keyspace Decision</w:t>
      </w:r>
    </w:p>
    <w:p>
      <w:pPr>
        <w:spacing w:after="320"/>
      </w:pPr>
      <w:r>
        <w:rPr>
          <w:i/>
          <w:iCs/>
          <w:sz w:val="20"/>
          <w:szCs w:val="20"/>
        </w:rPr>
        <w:t xml:space="preserve">Facilitator-only — never share with students. Case: The Keyspace Decision · Tier: T3 · Band: MS-stretch / HS-entry · Studio: Launchpad</w:t>
      </w:r>
    </w:p>
    <w:p>
      <w:pPr>
        <w:pBdr>
          <w:top w:val="single" w:color="D9A400" w:sz="6"/>
          <w:bottom w:val="single" w:color="D9A400" w:sz="6"/>
          <w:left w:val="single" w:color="D9A400" w:sz="6"/>
          <w:right w:val="single" w:color="D9A400" w:sz="6"/>
        </w:pBdr>
        <w:shd w:fill="FFF3CD" w:color="auto" w:val="clear"/>
        <w:spacing w:after="240" w:before="120"/>
      </w:pPr>
      <w:r>
        <w:rPr>
          <w:b/>
          <w:bCs/>
        </w:rPr>
        <w:t xml:space="preserve">SPEC §6 sensitivity note: </w:t>
      </w:r>
      <w:r>
        <w:t xml:space="preserve">None required. The stakes are professional and organizational (an audit finding, a security-operations analyst's remediation record) — not personal loss or family hardship. Tier 2 probe 5 is PASS (disclosed): the 10.1% margin is NOT stable under ±50% swings on Appendix E MA3 (credential-theft cadence) or MA4 (help-desk cost). MA3 at -50% flips the winner to Option A. Say so if this case is ever cited as a "close, stable" example.</w:t>
      </w:r>
    </w:p>
    <w:p>
      <w:pPr>
        <w:pStyle w:val="Heading1"/>
        <w:spacing w:after="120" w:before="240"/>
      </w:pPr>
      <w:r>
        <w:t xml:space="preserve">The Two Arguments and the Margin</w:t>
      </w:r>
    </w:p>
    <w:p>
      <w:pPr>
        <w:spacing w:after="160"/>
      </w:pPr>
      <w:r>
        <w:rPr>
          <w:b/>
          <w:bCs/>
        </w:rPr>
        <w:t xml:space="preserve">Argument for A (The Long Wall). </w:t>
      </w:r>
      <w:r>
        <w:t xml:space="preserve">A fourteen-character password drawn from a 70-character set is brute-force-infeasible by any realistic measure: even at a modern GPU-cracking rig's rate, exhausting its keyspace takes trillions of years. The cost is modest and mostly one-time (a $4/seat/month password manager plus a small assumed support increment), with no ongoing per-login friction for employees. If the threat that matters is an attacker who has stolen a copy of the password hashes and is guessing offline, The Long Wall ends the conversation before it starts.</w:t>
      </w:r>
    </w:p>
    <w:p>
      <w:pPr>
        <w:spacing w:after="160"/>
      </w:pPr>
      <w:r>
        <w:rPr>
          <w:b/>
          <w:bCs/>
        </w:rPr>
        <w:t xml:space="preserve">Argument for B (The Second Gate). </w:t>
      </w:r>
      <w:r>
        <w:t xml:space="preserve">Real account takeovers overwhelmingly do not happen this way. Credential abuse — stolen, phished, or reused passwords — appears somewhere in the chain of 39% of real-world breaches [S2], and none of that channel cares how long the password is: an attacker who phishes the actual password walks in regardless of whether it was 8 characters or 40. A second factor is the one control in this case that defends that channel directly, cutting the risk of a successful takeover even when the attacker already has a correct password by 98.56% [S3]. Weighting each option's protection by how real attackers actually get in — not by an idealized offline-guessing scenario — The Second Gate comes out ahead on the case's own primary metric, and does so at a lower dollar cost per employee ($36/year against The Long Wall's $60/year).</w:t>
      </w:r>
    </w:p>
    <w:p>
      <w:pPr>
        <w:spacing w:after="160"/>
      </w:pPr>
      <w:r>
        <w:rPr>
          <w:b/>
          <w:bCs/>
        </w:rPr>
        <w:t xml:space="preserve">Margin (real number). </w:t>
      </w:r>
      <w:r>
        <w:t xml:space="preserve">Option A ≈ 320.5 years combined expected time to compromise ÷ $60.00 = 5.34 years per dollar. Option B ≈ 214.0 years ÷ $36.00 = 5.94 years per dollar. The Second Gate wins by 10.1% — genuinely close, and entirely dependent on Appendix E MA3's stated attack-rate assumption, the case's single most load-bearing dial.</w:t>
      </w:r>
    </w:p>
    <w:p>
      <w:pPr>
        <w:pStyle w:val="Heading1"/>
        <w:spacing w:after="120" w:before="240"/>
      </w:pPr>
      <w:r>
        <w:t xml:space="preserve">The Trap</w:t>
      </w:r>
    </w:p>
    <w:p>
      <w:pPr>
        <w:pBdr>
          <w:top w:val="single" w:color="D9A400" w:sz="6"/>
          <w:bottom w:val="single" w:color="D9A400" w:sz="6"/>
          <w:left w:val="single" w:color="D9A400" w:sz="6"/>
          <w:right w:val="single" w:color="D9A400" w:sz="6"/>
        </w:pBdr>
        <w:shd w:fill="FFF3CD" w:color="auto" w:val="clear"/>
        <w:spacing w:after="240" w:before="120"/>
      </w:pPr>
      <w:r>
        <w:rPr>
          <w:b/>
          <w:bCs/>
        </w:rPr>
        <w:t xml:space="preserve">The trap, quantified. </w:t>
      </w:r>
      <w:r>
        <w:t xml:space="preserve">D2 alone (raw brute-force crack time, no breach-vector weighting) makes Option A appear to win by a factor of roughly 70 billion on the same nominal metric — Option A's raw metric is 2.585 × 10¹¹ years/$ against Option B's 3.66 years/$. This number is large enough that a Hero who stops at D2 will report it with total, misplaced confidence. It is wrong because it assumes brute force is the only attack that exists. D4's breach-vector weighting is not optional texture — it is the deliverable that actually decides the dilemma.</w:t>
      </w:r>
    </w:p>
    <w:p>
      <w:pPr>
        <w:spacing w:after="160"/>
      </w:pPr>
      <w:r>
        <w:t xml:space="preserve">Drop this at ~15 minutes into the discussion, slowly, with pauses:</w:t>
      </w:r>
    </w:p>
    <w:p>
      <w:pPr>
        <w:spacing w:after="160"/>
      </w:pPr>
      <w:r>
        <w:rPr>
          <w:i/>
          <w:iCs/>
        </w:rPr>
        <w:t xml:space="preserve">“Everyone in this room has now computed D2. Someone read me Option A's number.”</w:t>
      </w:r>
    </w:p>
    <w:p>
      <w:pPr>
        <w:spacing w:after="160"/>
      </w:pPr>
      <w:r>
        <w:t xml:space="preserve">(Let a Hero say something like "over ten trillion years.")</w:t>
      </w:r>
    </w:p>
    <w:p>
      <w:pPr>
        <w:spacing w:after="160"/>
      </w:pPr>
      <w:r>
        <w:rPr>
          <w:i/>
          <w:iCs/>
        </w:rPr>
        <w:t xml:space="preserve">“And Option B's?”</w:t>
      </w:r>
    </w:p>
    <w:p>
      <w:pPr>
        <w:spacing w:after="160"/>
      </w:pPr>
      <w:r>
        <w:t xml:space="preserve">("About a hundred and thirty years.")</w:t>
      </w:r>
    </w:p>
    <w:p>
      <w:pPr>
        <w:spacing w:after="160"/>
      </w:pPr>
      <w:r>
        <w:rPr>
          <w:i/>
          <w:iCs/>
        </w:rPr>
        <w:t xml:space="preserve">“So The Long Wall wins by roughly seventy billion times over. Show of hands — who is recommending Option A right now, on exactly that basis?”</w:t>
      </w:r>
    </w:p>
    <w:p>
      <w:pPr>
        <w:spacing w:after="160"/>
      </w:pPr>
      <w:r>
        <w:t xml:space="preserve">Let hands go up. Then:</w:t>
      </w:r>
    </w:p>
    <w:p>
      <w:pPr>
        <w:spacing w:after="160"/>
      </w:pPr>
      <w:r>
        <w:rPr>
          <w:i/>
          <w:iCs/>
        </w:rPr>
        <w:t xml:space="preserve">“That number is real. Every digit of it is correctly computed. And it is the wrong answer. Here is why: it assumes the only way into Bramwell's systems is guessing the password from scratch. Verizon's 2026 breach report says that in 39% of real breaches, the attacker already had a valid credential — stolen, phished, or reused — before they ever touched a login screen. A fourteen-character password does nothing to stop that. You have five minutes. Redo D5 using D4's numbers instead of D2's alone. Does the recommendation survive?”</w:t>
      </w:r>
    </w:p>
    <w:p>
      <w:pPr>
        <w:spacing w:after="160"/>
      </w:pPr>
      <w:r>
        <w:rPr>
          <w:b/>
          <w:bCs/>
        </w:rPr>
        <w:t xml:space="preserve">What the numbers actually do. </w:t>
      </w:r>
      <w:r>
        <w:t xml:space="preserve">Weighting each option's protection by how real attackers actually get in (61% weight on the direct-guessing channel D2 measures, 39% on the credential-abuse channel D3/D4 measure, per Appendix E MA3's stated attack-cadence assumption), Option A's expected time to compromise falls to 320.5 years and Option B's to 214.0 years — but Option B costs less ($36/employee/year against Option A's $60), so on the case's actual primary metric (years per dollar), Option B still wins, 5.94 years/$ against 5.34 years/$, a margin of 10.1%. The verdict does not flip on the raw years alone (Option A's 320.5 is larger than Option B's 214.0) — it flips because Option B is both more protective per dollar spent and cheaper outright, once the credential-theft channel counts at all.</w:t>
      </w:r>
    </w:p>
    <w:p>
      <w:pPr>
        <w:spacing w:after="160"/>
      </w:pPr>
      <w:r>
        <w:rPr>
          <w:b/>
          <w:bCs/>
        </w:rPr>
        <w:t xml:space="preserve">The honest caveat, hand it over if pushed. </w:t>
      </w:r>
      <w:r>
        <w:t xml:space="preserve">This whole result hinges on one openly stated, unsourced number: Appendix E MA3's assumed 0.8%-per-year rate at which a given employee account suffers a successful credential-theft attempt. Below about 0.72%, Option A wins instead. No public source measures this rate for a specific company — it is the case's most fragile, most important dial, named as such in Appendix E, not hidden in a footnote. Do not hand the arithmetic over unprompted. A Hero who says “I'd want to see how sensitive this is to that 0.8% number before I trusted it” has given the strongest possible answer.</w:t>
      </w:r>
    </w:p>
    <w:p>
      <w:pPr>
        <w:pStyle w:val="Heading1"/>
        <w:spacing w:after="120" w:before="240"/>
      </w:pPr>
      <w:r>
        <w:t xml:space="preserve">The Five Socratic Questions</w:t>
      </w:r>
    </w:p>
    <w:p>
      <w:pPr>
        <w:pStyle w:val="ListParagraph"/>
        <w:numPr>
          <w:ilvl w:val="0"/>
          <w:numId w:val="2"/>
        </w:numPr>
        <w:spacing w:after="80"/>
      </w:pPr>
      <w:r>
        <w:t xml:space="preserve">The Long Wall's nominal keyspace is astronomically larger than The Second Gate's — why does that fact alone not settle the case?</w:t>
      </w:r>
    </w:p>
    <w:p>
      <w:pPr>
        <w:pStyle w:val="ListParagraph"/>
        <w:numPr>
          <w:ilvl w:val="0"/>
          <w:numId w:val="2"/>
        </w:numPr>
        <w:spacing w:after="80"/>
      </w:pPr>
      <w:r>
        <w:t xml:space="preserve">Your D3 pigeonhole bound and Bramwell's actual headcount — which one is bigger, by how much, and what does that gap actually tell you about accidental collisions at this company?</w:t>
      </w:r>
    </w:p>
    <w:p>
      <w:pPr>
        <w:pStyle w:val="ListParagraph"/>
        <w:numPr>
          <w:ilvl w:val="0"/>
          <w:numId w:val="2"/>
        </w:numPr>
        <w:spacing w:after="80"/>
      </w:pPr>
      <w:r>
        <w:t xml:space="preserve">D4 asks you to combine a percentage share of breaches with a percentage rate at which 2FA blocks takeover — are those two percentages of the same denominator?</w:t>
      </w:r>
    </w:p>
    <w:p>
      <w:pPr>
        <w:pStyle w:val="ListParagraph"/>
        <w:numPr>
          <w:ilvl w:val="0"/>
          <w:numId w:val="2"/>
        </w:numPr>
        <w:spacing w:after="80"/>
      </w:pPr>
      <w:r>
        <w:t xml:space="preserve">If Bramwell's headcount were ten times larger, which of your five deliverables would change, and which would not move at all?</w:t>
      </w:r>
    </w:p>
    <w:p>
      <w:pPr>
        <w:pStyle w:val="ListParagraph"/>
        <w:numPr>
          <w:ilvl w:val="0"/>
          <w:numId w:val="2"/>
        </w:numPr>
        <w:spacing w:after="80"/>
      </w:pPr>
      <w:r>
        <w:t xml:space="preserve">The legacy accounts-payable system caps every password at 8 lowercase-and-digit characters no matter which draft standard wins — what does that fact do to Argument A's claim that length alone solves the problem?</w:t>
      </w:r>
    </w:p>
    <w:p>
      <w:pPr>
        <w:pStyle w:val="Heading1"/>
        <w:spacing w:after="120" w:before="240"/>
      </w:pPr>
      <w:r>
        <w:t xml:space="preserve">Facilitator-Only Numbers (Full Derivation)</w:t>
      </w:r>
    </w:p>
    <w:p>
      <w:pPr>
        <w:spacing w:after="160"/>
      </w:pPr>
      <w:r>
        <w:rPr>
          <w:i/>
          <w:iCs/>
        </w:rPr>
        <w:t xml:space="preserve">Every figure below resolves in case.json.derived and is reproducible with: python3 cases/the-keyspace-decision/sensitivity_model.py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color="auto" w:val="clear"/>
          </w:tcPr>
          <w:p>
            <w:r>
              <w:rPr>
                <w:b/>
                <w:bCs/>
              </w:rPr>
              <w:t xml:space="preserve">Deliverable</w:t>
            </w:r>
          </w:p>
        </w:tc>
        <w:tc>
          <w:tcPr>
            <w:tcW w:type="dxa" w:w="7160"/>
            <w:shd w:fill="D9E2F3" w:color="auto" w:val="clear"/>
          </w:tcPr>
          <w:p>
            <w:r>
              <w:rPr>
                <w:b/>
                <w:bCs/>
              </w:rPr>
              <w:t xml:space="preserve">Result</w:t>
            </w:r>
          </w:p>
        </w:tc>
      </w:tr>
      <w:tr>
        <w:tc>
          <w:tcPr>
            <w:tcW w:type="dxa" w:w="2200"/>
          </w:tcPr>
          <w:p>
            <w:r>
              <w:t xml:space="preserve">D1 — Keyspaces</w:t>
            </w:r>
          </w:p>
        </w:tc>
        <w:tc>
          <w:tcPr>
            <w:tcW w:type="dxa" w:w="7160"/>
          </w:tcPr>
          <w:p>
            <w:r>
              <w:t xml:space="preserve">Long Wall (70^14): 67,822,307,284,900,000,000,000,000. Second Gate (70^8): 576,480,100,000,000. Legacy AP system (36^8): 2,821,109,907,456.</w:t>
            </w:r>
          </w:p>
        </w:tc>
      </w:tr>
      <w:tr>
        <w:tc>
          <w:tcPr>
            <w:tcW w:type="dxa" w:w="2200"/>
          </w:tcPr>
          <w:p>
            <w:r>
              <w:t xml:space="preserve">D2 — Crack times at 138,675 H/s [S1]</w:t>
            </w:r>
          </w:p>
        </w:tc>
        <w:tc>
          <w:tcPr>
            <w:tcW w:type="dxa" w:w="7160"/>
          </w:tcPr>
          <w:p>
            <w:r>
              <w:t xml:space="preserve">Long Wall: 1.55 × 10^13 years. Second Gate: 131.8 years (Hive Systems itself publishes 132 years — an independent match). Legacy AP system: 0.645 years (≈ 236 days).</w:t>
            </w:r>
          </w:p>
        </w:tc>
      </w:tr>
      <w:tr>
        <w:tc>
          <w:tcPr>
            <w:tcW w:type="dxa" w:w="2200"/>
          </w:tcPr>
          <w:p>
            <w:r>
              <w:t xml:space="preserve">D3 — Pigeonhole</w:t>
            </w:r>
          </w:p>
        </w:tc>
        <w:tc>
          <w:tcPr>
            <w:tcW w:type="dxa" w:w="7160"/>
          </w:tcPr>
          <w:p>
            <w:r>
              <w:t xml:space="preserve">Guarantee threshold: 2,821,109,907,457 employees. Bramwell's actual AP-system population: 80. Ratio: guarantee is about 35 billion times larger than actual headcount — accidental collision is not a practical risk at Bramwell's scale.</w:t>
            </w:r>
          </w:p>
        </w:tc>
      </w:tr>
      <w:tr>
        <w:tc>
          <w:tcPr>
            <w:tcW w:type="dxa" w:w="2200"/>
          </w:tcPr>
          <w:p>
            <w:r>
              <w:t xml:space="preserve">D4/D5 — Weighted years and primary metric</w:t>
            </w:r>
          </w:p>
        </w:tc>
        <w:tc>
          <w:tcPr>
            <w:tcW w:type="dxa" w:w="7160"/>
          </w:tcPr>
          <w:p>
            <w:r>
              <w:t xml:space="preserve">Option A: 320.5 years ÷ $60.00 = 5.34 years/$. Option B: 214.0 years ÷ $36.00 = 5.94 years/$. Option B wins, margin 10.1%.</w:t>
            </w:r>
          </w:p>
        </w:tc>
      </w:tr>
      <w:tr>
        <w:tc>
          <w:tcPr>
            <w:tcW w:type="dxa" w:w="2200"/>
          </w:tcPr>
          <w:p>
            <w:r>
              <w:t xml:space="preserve">Sensitivity</w:t>
            </w:r>
          </w:p>
        </w:tc>
        <w:tc>
          <w:tcPr>
            <w:tcW w:type="dxa" w:w="7160"/>
          </w:tcPr>
          <w:p>
            <w:r>
              <w:t xml:space="preserve">Margin depends entirely on Appendix E MA3 (assumed 0.8%/year cadence). Flip point ≈ 0.72%/year. Below it, Option A wins; margin widens quickly above it (63.5% at 2%/year, 84.9% at 5%/year).</w:t>
            </w:r>
          </w:p>
        </w:tc>
      </w:tr>
    </w:tbl>
    <w:p>
      <w:pPr>
        <w:pStyle w:val="Heading1"/>
        <w:spacing w:after="120" w:before="240"/>
      </w:pPr>
      <w:r>
        <w:t xml:space="preserve">Deep Conflict Threads (20-30 min)</w:t>
      </w:r>
    </w:p>
    <w:p>
      <w:pPr>
        <w:pStyle w:val="ListParagraph"/>
        <w:numPr>
          <w:ilvl w:val="0"/>
          <w:numId w:val="3"/>
        </w:numPr>
        <w:spacing w:after="80"/>
      </w:pPr>
      <w:r>
        <w:t xml:space="preserve">A number you can compute versus a number you have to trust. D1's keyspace is exact, derived from the case's own stated policy — nobody can argue with the arithmetic. D4's breach-vector percentages come from someone else's data set, collected somewhere else, about other companies. Which kind of number should carry more weight in a recommendation, and is "I can prove this one with a calculator" actually the same thing as "this one matters more"?</w:t>
      </w:r>
    </w:p>
    <w:p>
      <w:pPr>
        <w:pStyle w:val="ListParagraph"/>
        <w:numPr>
          <w:ilvl w:val="0"/>
          <w:numId w:val="3"/>
        </w:numPr>
        <w:spacing w:after="80"/>
      </w:pPr>
      <w:r>
        <w:t xml:space="preserve">Whose name is on the finding. The audit finding is Renata's to close, not the board's and not the CISO's. Does that change which standard she should recommend, independent of which one is mathematically "better" — and is that a legitimate factor, or a bias the case should ask her to set aside?</w:t>
      </w:r>
    </w:p>
    <w:p>
      <w:pPr>
        <w:pStyle w:val="ListParagraph"/>
        <w:numPr>
          <w:ilvl w:val="0"/>
          <w:numId w:val="3"/>
        </w:numPr>
        <w:spacing w:after="80"/>
      </w:pPr>
      <w:r>
        <w:t xml:space="preserve">The legacy system nobody chose. Neither draft standard controls what the accounts-payable system actually stores. Is it fair to judge either policy by a constraint neither one created?</w:t>
      </w:r>
    </w:p>
    <w:p>
      <w:pPr>
        <w:pStyle w:val="Heading1"/>
        <w:spacing w:after="120" w:before="240"/>
      </w:pPr>
      <w:r>
        <w:t xml:space="preserve">What a Strong Defense Sounds Like</w:t>
      </w:r>
    </w:p>
    <w:p>
      <w:pPr>
        <w:spacing w:after="160"/>
      </w:pPr>
      <w:r>
        <w:t xml:space="preserve">There is no single right answer here — both options are defensible security postures used at real companies. A strong defense, for either option, does the following: it works through D1 → D5 in order rather than jumping to the D2 keyspace comparison and stopping; it names which threat model it is defending against (offline guessing vs. credential theft/phishing) and says so explicitly; it treats Appendix E's assumptions (especially MA3) as a stated, challengeable dial rather than a hidden fact, and can say how the recommendation would change if that dial moved; and it engages with the case's own primary metric (years per dollar) rather than substituting an unweighted comparison. A Hero who picks Option A after seriously working through D4's weighting — and can explain why they still find the direct-guessing threat model more compelling for Bramwell — has made just as strong a case as one who picks Option B. The quality of reasoning is what is being assessed, not which letter is circled.</w:t>
      </w:r>
    </w:p>
    <w:p>
      <w:pPr>
        <w:pStyle w:val="Heading1"/>
        <w:spacing w:after="120" w:before="240"/>
      </w:pPr>
      <w:r>
        <w:t xml:space="preserve">Skills This Case Exercises</w:t>
      </w:r>
    </w:p>
    <w:p>
      <w:pPr>
        <w:pStyle w:val="ListParagraph"/>
        <w:numPr>
          <w:ilvl w:val="0"/>
          <w:numId w:val="3"/>
        </w:numPr>
        <w:spacing w:after="80"/>
      </w:pPr>
      <w:r>
        <w:t xml:space="preserve">Fundamental Counting Principle (term + how-to)</w:t>
      </w:r>
    </w:p>
    <w:p>
      <w:pPr>
        <w:pStyle w:val="ListParagraph"/>
        <w:numPr>
          <w:ilvl w:val="0"/>
          <w:numId w:val="3"/>
        </w:numPr>
        <w:spacing w:after="80"/>
      </w:pPr>
      <w:r>
        <w:t xml:space="preserve">Pigeonhole Principle (term — new coverage for the spine)</w:t>
      </w:r>
    </w:p>
    <w:p>
      <w:pPr>
        <w:pStyle w:val="ListParagraph"/>
        <w:numPr>
          <w:ilvl w:val="0"/>
          <w:numId w:val="3"/>
        </w:numPr>
        <w:spacing w:after="80"/>
      </w:pPr>
      <w:r>
        <w:t xml:space="preserve">How to apply the Fundamental Counting Principle to count outcomes</w:t>
      </w:r>
    </w:p>
    <w:p>
      <w:pPr>
        <w:pStyle w:val="ListParagraph"/>
        <w:numPr>
          <w:ilvl w:val="0"/>
          <w:numId w:val="3"/>
        </w:numPr>
        <w:spacing w:after="80"/>
      </w:pPr>
      <w:r>
        <w:t xml:space="preserve">How to convert an amount with compound units</w:t>
      </w:r>
    </w:p>
    <w:p>
      <w:pPr>
        <w:pStyle w:val="ListParagraph"/>
        <w:numPr>
          <w:ilvl w:val="0"/>
          <w:numId w:val="3"/>
        </w:numPr>
        <w:spacing w:after="80"/>
      </w:pPr>
      <w:r>
        <w:t xml:space="preserve">How to find the percent of a number</w:t>
      </w:r>
    </w:p>
    <w:p>
      <w:pPr>
        <w:pStyle w:val="Heading1"/>
        <w:spacing w:after="120" w:before="24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rPr>
          <w:tblHeader/>
        </w:trPr>
        <w:tc>
          <w:tcPr>
            <w:tcW w:type="dxa" w:w="1200"/>
            <w:shd w:fill="D9E2F3" w:color="auto" w:val="clear"/>
          </w:tcPr>
          <w:p>
            <w:r>
              <w:rPr>
                <w:b/>
                <w:bCs/>
              </w:rPr>
              <w:t xml:space="preserve">Time</w:t>
            </w:r>
          </w:p>
        </w:tc>
        <w:tc>
          <w:tcPr>
            <w:tcW w:type="dxa" w:w="2160"/>
            <w:shd w:fill="D9E2F3" w:color="auto" w:val="clear"/>
          </w:tcPr>
          <w:p>
            <w:r>
              <w:rPr>
                <w:b/>
                <w:bCs/>
              </w:rPr>
              <w:t xml:space="preserve">Segment</w:t>
            </w:r>
          </w:p>
        </w:tc>
        <w:tc>
          <w:tcPr>
            <w:tcW w:type="dxa" w:w="6000"/>
            <w:shd w:fill="D9E2F3" w:color="auto" w:val="clear"/>
          </w:tcPr>
          <w:p>
            <w:r>
              <w:rPr>
                <w:b/>
                <w:bCs/>
              </w:rPr>
              <w:t xml:space="preserve">What happens</w:t>
            </w:r>
          </w:p>
        </w:tc>
      </w:tr>
      <w:tr>
        <w:tc>
          <w:tcPr>
            <w:tcW w:type="dxa" w:w="1200"/>
          </w:tcPr>
          <w:p>
            <w:r>
              <w:t xml:space="preserve">0:00</w:t>
            </w:r>
          </w:p>
        </w:tc>
        <w:tc>
          <w:tcPr>
            <w:tcW w:type="dxa" w:w="2160"/>
          </w:tcPr>
          <w:p>
            <w:r>
              <w:t xml:space="preserve">Intro</w:t>
            </w:r>
          </w:p>
        </w:tc>
        <w:tc>
          <w:tcPr>
            <w:tcW w:type="dxa" w:w="6000"/>
          </w:tcPr>
          <w:p>
            <w:r>
              <w:t xml:space="preserve">Frame the format; name what's on the line for Renata.</w:t>
            </w:r>
          </w:p>
        </w:tc>
      </w:tr>
      <w:tr>
        <w:tc>
          <w:tcPr>
            <w:tcW w:type="dxa" w:w="1200"/>
          </w:tcPr>
          <w:p>
            <w:r>
              <w:t xml:space="preserve">3:00</w:t>
            </w:r>
          </w:p>
        </w:tc>
        <w:tc>
          <w:tcPr>
            <w:tcW w:type="dxa" w:w="2160"/>
          </w:tcPr>
          <w:p>
            <w:r>
              <w:t xml:space="preserve">Launch</w:t>
            </w:r>
          </w:p>
        </w:tc>
        <w:tc>
          <w:tcPr>
            <w:tcW w:type="dxa" w:w="6000"/>
          </w:tcPr>
          <w:p>
            <w:r>
              <w:t xml:space="preserve">Real credential-stuffing headline; gut-read question, no correcting.</w:t>
            </w:r>
          </w:p>
        </w:tc>
      </w:tr>
      <w:tr>
        <w:tc>
          <w:tcPr>
            <w:tcW w:type="dxa" w:w="1200"/>
          </w:tcPr>
          <w:p>
            <w:r>
              <w:t xml:space="preserve">6:00</w:t>
            </w:r>
          </w:p>
        </w:tc>
        <w:tc>
          <w:tcPr>
            <w:tcW w:type="dxa" w:w="2160"/>
          </w:tcPr>
          <w:p>
            <w:r>
              <w:t xml:space="preserve">Anchor 1</w:t>
            </w:r>
          </w:p>
        </w:tc>
        <w:tc>
          <w:tcPr>
            <w:tcW w:type="dxa" w:w="6000"/>
          </w:tcPr>
          <w:p>
            <w:r>
              <w:t xml:space="preserve">Stand-or-sit vote, no reasoning yet. Record the count.</w:t>
            </w:r>
          </w:p>
        </w:tc>
      </w:tr>
      <w:tr>
        <w:tc>
          <w:tcPr>
            <w:tcW w:type="dxa" w:w="1200"/>
          </w:tcPr>
          <w:p>
            <w:r>
              <w:t xml:space="preserve">10:00</w:t>
            </w:r>
          </w:p>
        </w:tc>
        <w:tc>
          <w:tcPr>
            <w:tcW w:type="dxa" w:w="2160"/>
          </w:tcPr>
          <w:p>
            <w:r>
              <w:t xml:space="preserve">Anchor 2</w:t>
            </w:r>
          </w:p>
        </w:tc>
        <w:tc>
          <w:tcPr>
            <w:tcW w:type="dxa" w:w="6000"/>
          </w:tcPr>
          <w:p>
            <w:r>
              <w:t xml:space="preserve">“What is the problem we're solving?” — let confusion about “more secure” grow.</w:t>
            </w:r>
          </w:p>
        </w:tc>
      </w:tr>
      <w:tr>
        <w:tc>
          <w:tcPr>
            <w:tcW w:type="dxa" w:w="1200"/>
          </w:tcPr>
          <w:p>
            <w:r>
              <w:t xml:space="preserve">16:00</w:t>
            </w:r>
          </w:p>
        </w:tc>
        <w:tc>
          <w:tcPr>
            <w:tcW w:type="dxa" w:w="2160"/>
          </w:tcPr>
          <w:p>
            <w:r>
              <w:t xml:space="preserve">Anchor 3</w:t>
            </w:r>
          </w:p>
        </w:tc>
        <w:tc>
          <w:tcPr>
            <w:tcW w:type="dxa" w:w="6000"/>
          </w:tcPr>
          <w:p>
            <w:r>
              <w:t xml:space="preserve">Name the five-step process (D1→D5) before opening any appendix.</w:t>
            </w:r>
          </w:p>
        </w:tc>
      </w:tr>
      <w:tr>
        <w:tc>
          <w:tcPr>
            <w:tcW w:type="dxa" w:w="1200"/>
          </w:tcPr>
          <w:p>
            <w:r>
              <w:t xml:space="preserve">20:00</w:t>
            </w:r>
          </w:p>
        </w:tc>
        <w:tc>
          <w:tcPr>
            <w:tcW w:type="dxa" w:w="2160"/>
          </w:tcPr>
          <w:p>
            <w:r>
              <w:t xml:space="preserve">Anchor 4</w:t>
            </w:r>
          </w:p>
        </w:tc>
        <w:tc>
          <w:tcPr>
            <w:tcW w:type="dxa" w:w="6000"/>
          </w:tcPr>
          <w:p>
            <w:r>
              <w:t xml:space="preserve">Surface the honest gaps in Appendix E; which assumptions are load-bearing.</w:t>
            </w:r>
          </w:p>
        </w:tc>
      </w:tr>
      <w:tr>
        <w:tc>
          <w:tcPr>
            <w:tcW w:type="dxa" w:w="1200"/>
          </w:tcPr>
          <w:p>
            <w:r>
              <w:t xml:space="preserve">25:00</w:t>
            </w:r>
          </w:p>
        </w:tc>
        <w:tc>
          <w:tcPr>
            <w:tcW w:type="dxa" w:w="2160"/>
          </w:tcPr>
          <w:p>
            <w:r>
              <w:t xml:space="preserve">Data Deep Dive</w:t>
            </w:r>
          </w:p>
        </w:tc>
        <w:tc>
          <w:tcPr>
            <w:tcW w:type="dxa" w:w="6000"/>
          </w:tcPr>
          <w:p>
            <w:r>
              <w:t xml:space="preserve">Work D1→D5 as a room; cold-call on D3's pigeonhole bound.</w:t>
            </w:r>
          </w:p>
        </w:tc>
      </w:tr>
      <w:tr>
        <w:tc>
          <w:tcPr>
            <w:tcW w:type="dxa" w:w="1200"/>
          </w:tcPr>
          <w:p>
            <w:r>
              <w:t xml:space="preserve">33:00</w:t>
            </w:r>
          </w:p>
        </w:tc>
        <w:tc>
          <w:tcPr>
            <w:tcW w:type="dxa" w:w="2160"/>
          </w:tcPr>
          <w:p>
            <w:r>
              <w:t xml:space="preserve">TWIST</w:t>
            </w:r>
          </w:p>
        </w:tc>
        <w:tc>
          <w:tcPr>
            <w:tcW w:type="dxa" w:w="6000"/>
          </w:tcPr>
          <w:p>
            <w:r>
              <w:t xml:space="preserve">Drop the twist: the raw D2-only number is real and wrong. Five minutes to redo D5 with D4's weighting.</w:t>
            </w:r>
          </w:p>
        </w:tc>
      </w:tr>
      <w:tr>
        <w:tc>
          <w:tcPr>
            <w:tcW w:type="dxa" w:w="1200"/>
          </w:tcPr>
          <w:p>
            <w:r>
              <w:t xml:space="preserve">38:00</w:t>
            </w:r>
          </w:p>
        </w:tc>
        <w:tc>
          <w:tcPr>
            <w:tcW w:type="dxa" w:w="2160"/>
          </w:tcPr>
          <w:p>
            <w:r>
              <w:t xml:space="preserve">Deep conflict</w:t>
            </w:r>
          </w:p>
        </w:tc>
        <w:tc>
          <w:tcPr>
            <w:tcW w:type="dxa" w:w="6000"/>
          </w:tcPr>
          <w:p>
            <w:r>
              <w:t xml:space="preserve">Pick one of the three threads; 5–7 minutes.</w:t>
            </w:r>
          </w:p>
        </w:tc>
      </w:tr>
      <w:tr>
        <w:tc>
          <w:tcPr>
            <w:tcW w:type="dxa" w:w="1200"/>
          </w:tcPr>
          <w:p>
            <w:r>
              <w:t xml:space="preserve">43:00</w:t>
            </w:r>
          </w:p>
        </w:tc>
        <w:tc>
          <w:tcPr>
            <w:tcW w:type="dxa" w:w="2160"/>
          </w:tcPr>
          <w:p>
            <w:r>
              <w:t xml:space="preserve">Close</w:t>
            </w:r>
          </w:p>
        </w:tc>
        <w:tc>
          <w:tcPr>
            <w:tcW w:type="dxa" w:w="6000"/>
          </w:tcPr>
          <w:p>
            <w:r>
              <w:t xml:space="preserve">Vote again; “did we ask the right question at the start?”</w:t>
            </w:r>
          </w:p>
        </w:tc>
      </w:tr>
    </w:tbl>
    <w:p>
      <w:pPr>
        <w:spacing w:after="160"/>
      </w:pPr>
      <w:r>
        <w:t xml:space="preserve">Adjust proportionally for the Compressed or 1:1 cohort bands (below); this is the Full-band timing.</w:t>
      </w:r>
    </w:p>
    <w:p>
      <w:pPr>
        <w:pStyle w:val="Heading1"/>
        <w:spacing w:after="120" w:before="240"/>
      </w:pPr>
      <w:r>
        <w:t xml:space="preserve">Cohort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color="auto" w:val="clear"/>
          </w:tcPr>
          <w:p>
            <w:r>
              <w:rPr>
                <w:b/>
                <w:bCs/>
              </w:rPr>
              <w:t xml:space="preserve">Band</w:t>
            </w:r>
          </w:p>
        </w:tc>
        <w:tc>
          <w:tcPr>
            <w:tcW w:type="dxa" w:w="6960"/>
            <w:shd w:fill="D9E2F3" w:color="auto" w:val="clear"/>
          </w:tcPr>
          <w:p>
            <w:r>
              <w:rPr>
                <w:b/>
                <w:bCs/>
              </w:rPr>
              <w:t xml:space="preserve">Note</w:t>
            </w:r>
          </w:p>
        </w:tc>
      </w:tr>
      <w:tr>
        <w:tc>
          <w:tcPr>
            <w:tcW w:type="dxa" w:w="2400"/>
          </w:tcPr>
          <w:p>
            <w:r>
              <w:t xml:space="preserve">Full (12-20)</w:t>
            </w:r>
          </w:p>
        </w:tc>
        <w:tc>
          <w:tcPr>
            <w:tcW w:type="dxa" w:w="6960"/>
          </w:tcPr>
          <w:p>
            <w:r>
              <w:t xml:space="preserve">The Socratic plan runs as written. Split the room into two policy desks for the Data Deep Dive — one builds D1/D2 for The Long Wall, one for The Second Gate — and have them trade tables before D4/D5.</w:t>
            </w:r>
          </w:p>
        </w:tc>
      </w:tr>
      <w:tr>
        <w:tc>
          <w:tcPr>
            <w:tcW w:type="dxa" w:w="2400"/>
          </w:tcPr>
          <w:p>
            <w:r>
              <w:t xml:space="preserve">Compressed (6-11)</w:t>
            </w:r>
          </w:p>
        </w:tc>
        <w:tc>
          <w:tcPr>
            <w:tcW w:type="dxa" w:w="6960"/>
          </w:tcPr>
          <w:p>
            <w:r>
              <w:t xml:space="preserve">Anchors 2 and 3 combine into one pass. Run one deep-conflict thread only. Do not split into two desks; work one keyspace together on the board and leave the rest as homework.</w:t>
            </w:r>
          </w:p>
        </w:tc>
      </w:tr>
      <w:tr>
        <w:tc>
          <w:tcPr>
            <w:tcW w:type="dxa" w:w="2400"/>
          </w:tcPr>
          <w:p>
            <w:r>
              <w:t xml:space="preserve">1:1 or pair (1-2)</w:t>
            </w:r>
          </w:p>
        </w:tc>
        <w:tc>
          <w:tcPr>
            <w:tcW w:type="dxa" w:w="6960"/>
          </w:tcPr>
          <w:p>
            <w:r>
              <w:t xml:space="preserve">No vote at Anchor 1 — the learner states an initial position, and the guide argues the other side directly. Skip the deep-conflict threads and spend the recovered time on D3, the pigeonhole bound, which is the least intuitive step to do alone.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2026-08-17T18:17:05.153Z</dcterms:created>
  <dcterms:modified xsi:type="dcterms:W3CDTF">2026-08-17T18:17:05.157Z</dcterms:modified>
</cp:coreProperties>
</file>

<file path=docProps/custom.xml><?xml version="1.0" encoding="utf-8"?>
<Properties xmlns="http://schemas.openxmlformats.org/officeDocument/2006/custom-properties" xmlns:vt="http://schemas.openxmlformats.org/officeDocument/2006/docPropsVTypes"/>
</file>