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Facilitator Guide: The Sunset Ramp</w:t>
      </w:r>
    </w:p>
    <w:p>
      <w:pPr>
        <w:spacing w:after="160"/>
      </w:pPr>
      <w:r>
        <w:rPr>
          <w:b w:val="false"/>
          <w:bCs w:val="false"/>
          <w:i/>
          <w:iCs/>
        </w:rPr>
        <w:t xml:space="preserve">MS | Math | Case Study | 2026 | Launchpad — Facilitator-Only Document</w:t>
      </w:r>
    </w:p>
    <w:p>
      <w:pPr>
        <w:spacing w:after="160"/>
      </w:pPr>
      <w:r>
        <w:rPr>
          <w:b/>
          <w:bCs/>
          <w:i w:val="false"/>
          <w:iCs w:val="false"/>
        </w:rPr>
        <w:t xml:space="preserve">Tier: T3 (Advanced) · Band: HS · Studio: Launchpad</w:t>
      </w:r>
    </w:p>
    <w:p>
      <w:pPr>
        <w:pStyle w:val="Heading1"/>
        <w:spacing w:after="120" w:before="240"/>
      </w:pPr>
      <w:r>
        <w:t xml:space="preserve">Sensitivity Note (SPEC §6)</w:t>
      </w:r>
    </w:p>
    <w:p>
      <w:pPr>
        <w:pBdr>
          <w:top w:val="single" w:color="666666" w:sz="6"/>
          <w:bottom w:val="single" w:color="666666" w:sz="6"/>
          <w:left w:val="single" w:color="666666" w:sz="6"/>
          <w:right w:val="single" w:color="666666" w:sz="6"/>
        </w:pBdr>
        <w:spacing w:after="240" w:before="120"/>
        <w:ind w:left="100" w:right="100"/>
      </w:pPr>
      <w:r>
        <w:rPr>
          <w:i/>
          <w:iCs/>
        </w:rPr>
        <w:t xml:space="preserve">None required. The stakes are operational and professional — grid reliability and a dispatcher's capital recommendation. No personal loss, no family hardship, no safety trade-off in the sense SPEC §6 flags; keeping the lights on during a ramp is the stake, not a body count.</w:t>
      </w:r>
    </w:p>
    <w:p>
      <w:pPr>
        <w:pStyle w:val="Heading1"/>
        <w:spacing w:after="120" w:before="240"/>
      </w:pPr>
      <w:r>
        <w:t xml:space="preserve">Publish-Time Run-of-Show</w:t>
      </w:r>
    </w:p>
    <w:p>
      <w:pPr>
        <w:spacing w:after="160"/>
      </w:pPr>
      <w:r>
        <w:rPr>
          <w:b w:val="false"/>
          <w:bCs w:val="false"/>
          <w:i w:val="false"/>
          <w:iCs w:val="false"/>
        </w:rPr>
        <w:t xml:space="preserve">Standards: six Calculus/Derivatives skills (derivative, instantaneous rate of change, power rule, tangent line, tangent-line-at-a-point how-to, differentiable), plus two already-covered supports (compound-unit conversion, percent of a number). This case is a reinforcement case — see the reinforcement note below — not a new-coverage case.</w:t>
      </w:r>
    </w:p>
    <w:p>
      <w:pPr>
        <w:spacing w:after="160"/>
      </w:pPr>
      <w:r>
        <w:rPr>
          <w:b w:val="false"/>
          <w:bCs w:val="false"/>
          <w:i w:val="false"/>
          <w:iCs w:val="false"/>
        </w:rPr>
        <w:t xml:space="preserve">Reinforcement note: Checked all 25 skills with n=0 in Calculus at authoring time. This case fits an explicit quadratic P(t)=0.486t²−37.5t+20000 to grid-load data and differentiates it via the power rule to find the tangent line at the steepest point — the same technique Curves Turn already claims (derivative, power rule, tangent line, instantaneous rate of change, differentiability). No chain/product/quotient rule, limit, integral, or series step appears anywhere in D1–D4's actual derivation. Publishing as a reinforcement case: same skill, a genuinely different real-world story and career (grid/energy dispatch) for variety.</w:t>
      </w:r>
    </w:p>
    <w:p>
      <w:pPr>
        <w:pStyle w:val="Heading1"/>
        <w:spacing w:after="120" w:before="240"/>
      </w:pPr>
      <w:r>
        <w:t xml:space="preserve">The Two Arguments</w:t>
      </w:r>
    </w:p>
    <w:p>
      <w:pPr>
        <w:spacing w:after="160"/>
      </w:pPr>
      <w:r>
        <w:rPr>
          <w:b/>
          <w:bCs/>
          <w:i w:val="false"/>
          <w:iCs w:val="false"/>
        </w:rPr>
        <w:t xml:space="preserve">Argument for A (The Solar Stack).</w:t>
      </w:r>
    </w:p>
    <w:p>
      <w:pPr>
        <w:spacing w:after="160"/>
      </w:pPr>
      <w:r>
        <w:rPr>
          <w:b w:val="false"/>
          <w:bCs w:val="false"/>
          <w:i w:val="false"/>
          <w:iCs w:val="false"/>
        </w:rPr>
        <w:t xml:space="preserve">The Solar Stack is the only option that actually covers the measured worst-instant ramp rate in full. A Hero who recommends B is knowingly leaving 87.5 MW/min of the evening's steepest measured minute uncovered by this resource alone — someone or something else on the grid has to make up that gap in real time, every clear evening, for as long as this plant is in service. A's capital cost is higher, but it buys full coverage of the number the dilemma is actually about.</w:t>
      </w:r>
    </w:p>
    <w:p>
      <w:pPr>
        <w:spacing w:after="160"/>
      </w:pPr>
      <w:r>
        <w:rPr>
          <w:b/>
          <w:bCs/>
          <w:i w:val="false"/>
          <w:iCs w:val="false"/>
        </w:rPr>
        <w:t xml:space="preserve">Argument for B (The Peaker Call).</w:t>
      </w:r>
    </w:p>
    <w:p>
      <w:pPr>
        <w:spacing w:after="160"/>
      </w:pPr>
      <w:r>
        <w:rPr>
          <w:b w:val="false"/>
          <w:bCs w:val="false"/>
          <w:i w:val="false"/>
          <w:iCs w:val="false"/>
        </w:rPr>
        <w:t xml:space="preserve">Per unit of ramp-rate actually delivered, The Peaker Call is 18.4% cheaper than The Solar Stack ($3,854,400 vs. $4,721,455 per MW/min) — and it delivers that rate all night, not just for the battery's bounded 4-hour, 800 MWh discharge window. The 137.5 MW/min figure itself is a Modeling Assumption's peak instant (MA1), not a directly measured one; a Hero could reasonably argue that engineering a plant to fully cover the single steepest constructed instant, at a 22.5% cost premium per unit delivered, is expensive insurance against a number that is itself uncertain.</w:t>
      </w:r>
    </w:p>
    <w:p>
      <w:pPr>
        <w:pStyle w:val="Heading1"/>
        <w:spacing w:after="120" w:before="240"/>
      </w:pPr>
      <w:r>
        <w:t xml:space="preserve">The Margin</w:t>
      </w:r>
    </w:p>
    <w:p>
      <w:pPr>
        <w:spacing w:after="160"/>
      </w:pPr>
      <w:r>
        <w:rPr>
          <w:b w:val="false"/>
          <w:bCs w:val="false"/>
          <w:i w:val="false"/>
          <w:iCs w:val="false"/>
        </w:rPr>
        <w:t xml:space="preserve">margin_pct = 18.36, computed as (costA − costB) / costA × 100 where costA = $4,721,455/MW-min and costB = $3,854,400/MW-min. Option B wins the case's own primary metric — dollars per MW/minute of ramp-rate covered — by that margin, but only by counting the rate it actually delivers (50 MW/min), not the rate the case says is needed (137.5 MW/min). Option A costs more per unit delivered but is the only option that clears the full measured requirement.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00"/>
      </w:tblGrid>
      <w:tr>
        <w:tc>
          <w:tcPr>
            <w:tcW w:type="dxa" w:w="3300"/>
            <w:shd w:fill="D9E2F3" w:color="auto" w:val="clear"/>
          </w:tcPr>
          <w:p>
            <w:r>
              <w:rPr>
                <w:b/>
                <w:bCs/>
              </w:rPr>
              <w:t xml:space="preserve"/>
            </w:r>
          </w:p>
        </w:tc>
        <w:tc>
          <w:tcPr>
            <w:tcW w:type="dxa" w:w="3000"/>
            <w:shd w:fill="D9E2F3" w:color="auto" w:val="clear"/>
          </w:tcPr>
          <w:p>
            <w:r>
              <w:rPr>
                <w:b/>
                <w:bCs/>
              </w:rPr>
              <w:t xml:space="preserve">The Solar Stack (A)</w:t>
            </w:r>
          </w:p>
        </w:tc>
        <w:tc>
          <w:tcPr>
            <w:tcW w:type="dxa" w:w="3000"/>
            <w:shd w:fill="D9E2F3" w:color="auto" w:val="clear"/>
          </w:tcPr>
          <w:p>
            <w:r>
              <w:rPr>
                <w:b/>
                <w:bCs/>
              </w:rPr>
              <w:t xml:space="preserve">The Peaker Call (B)</w:t>
            </w:r>
          </w:p>
        </w:tc>
      </w:tr>
      <w:tr>
        <w:tc>
          <w:tcPr>
            <w:tcW w:type="dxa" w:w="3300"/>
          </w:tcPr>
          <w:p>
            <w:r>
              <w:rPr>
                <w:b w:val="false"/>
                <w:bCs w:val="false"/>
              </w:rPr>
              <w:t xml:space="preserve">Total capital cost</w:t>
            </w:r>
          </w:p>
        </w:tc>
        <w:tc>
          <w:tcPr>
            <w:tcW w:type="dxa" w:w="3000"/>
          </w:tcPr>
          <w:p>
            <w:r>
              <w:rPr>
                <w:b w:val="false"/>
                <w:bCs w:val="false"/>
              </w:rPr>
              <w:t xml:space="preserve">$649,200,000</w:t>
            </w:r>
          </w:p>
        </w:tc>
        <w:tc>
          <w:tcPr>
            <w:tcW w:type="dxa" w:w="3000"/>
          </w:tcPr>
          <w:p>
            <w:r>
              <w:rPr>
                <w:b w:val="false"/>
                <w:bCs w:val="false"/>
              </w:rPr>
              <w:t xml:space="preserve">$192,720,000</w:t>
            </w:r>
          </w:p>
        </w:tc>
      </w:tr>
      <w:tr>
        <w:tc>
          <w:tcPr>
            <w:tcW w:type="dxa" w:w="3300"/>
          </w:tcPr>
          <w:p>
            <w:r>
              <w:rPr>
                <w:b w:val="false"/>
                <w:bCs w:val="false"/>
              </w:rPr>
              <w:t xml:space="preserve">Ramp-rate capability</w:t>
            </w:r>
          </w:p>
        </w:tc>
        <w:tc>
          <w:tcPr>
            <w:tcW w:type="dxa" w:w="3000"/>
          </w:tcPr>
          <w:p>
            <w:r>
              <w:rPr>
                <w:b w:val="false"/>
                <w:bCs w:val="false"/>
              </w:rPr>
              <w:t xml:space="preserve">12,000 MW/min (derived, ~1s response)</w:t>
            </w:r>
          </w:p>
        </w:tc>
        <w:tc>
          <w:tcPr>
            <w:tcW w:type="dxa" w:w="3000"/>
          </w:tcPr>
          <w:p>
            <w:r>
              <w:rPr>
                <w:b w:val="false"/>
                <w:bCs w:val="false"/>
              </w:rPr>
              <w:t xml:space="preserve">50 MW/min (sourced, S3)</w:t>
            </w:r>
          </w:p>
        </w:tc>
      </w:tr>
      <w:tr>
        <w:tc>
          <w:tcPr>
            <w:tcW w:type="dxa" w:w="3300"/>
          </w:tcPr>
          <w:p>
            <w:r>
              <w:rPr>
                <w:b w:val="false"/>
                <w:bCs w:val="false"/>
              </w:rPr>
              <w:t xml:space="preserve">D2 required rate</w:t>
            </w:r>
          </w:p>
        </w:tc>
        <w:tc>
          <w:tcPr>
            <w:tcW w:type="dxa" w:w="3000"/>
          </w:tcPr>
          <w:p>
            <w:r>
              <w:rPr>
                <w:b w:val="false"/>
                <w:bCs w:val="false"/>
              </w:rPr>
              <w:t xml:space="preserve">137.5 MW/min</w:t>
            </w:r>
          </w:p>
        </w:tc>
        <w:tc>
          <w:tcPr>
            <w:tcW w:type="dxa" w:w="3000"/>
          </w:tcPr>
          <w:p>
            <w:r>
              <w:rPr>
                <w:b w:val="false"/>
                <w:bCs w:val="false"/>
              </w:rPr>
              <w:t xml:space="preserve">137.5 MW/min</w:t>
            </w:r>
          </w:p>
        </w:tc>
      </w:tr>
      <w:tr>
        <w:tc>
          <w:tcPr>
            <w:tcW w:type="dxa" w:w="3300"/>
          </w:tcPr>
          <w:p>
            <w:r>
              <w:rPr>
                <w:b w:val="false"/>
                <w:bCs w:val="false"/>
              </w:rPr>
              <w:t xml:space="preserve">Covered?</w:t>
            </w:r>
          </w:p>
        </w:tc>
        <w:tc>
          <w:tcPr>
            <w:tcW w:type="dxa" w:w="3000"/>
          </w:tcPr>
          <w:p>
            <w:r>
              <w:rPr>
                <w:b w:val="false"/>
                <w:bCs w:val="false"/>
              </w:rPr>
              <w:t xml:space="preserve">Yes, fully</w:t>
            </w:r>
          </w:p>
        </w:tc>
        <w:tc>
          <w:tcPr>
            <w:tcW w:type="dxa" w:w="3000"/>
          </w:tcPr>
          <w:p>
            <w:r>
              <w:rPr>
                <w:b w:val="false"/>
                <w:bCs w:val="false"/>
              </w:rPr>
              <w:t xml:space="preserve">No — only 36.4% of it</w:t>
            </w:r>
          </w:p>
        </w:tc>
      </w:tr>
      <w:tr>
        <w:tc>
          <w:tcPr>
            <w:tcW w:type="dxa" w:w="3300"/>
          </w:tcPr>
          <w:p>
            <w:r>
              <w:rPr>
                <w:b w:val="false"/>
                <w:bCs w:val="false"/>
              </w:rPr>
              <w:t xml:space="preserve">Rate actually delivered (capped)</w:t>
            </w:r>
          </w:p>
        </w:tc>
        <w:tc>
          <w:tcPr>
            <w:tcW w:type="dxa" w:w="3000"/>
          </w:tcPr>
          <w:p>
            <w:r>
              <w:rPr>
                <w:b w:val="false"/>
                <w:bCs w:val="false"/>
              </w:rPr>
              <w:t xml:space="preserve">137.5 MW/min</w:t>
            </w:r>
          </w:p>
        </w:tc>
        <w:tc>
          <w:tcPr>
            <w:tcW w:type="dxa" w:w="3000"/>
          </w:tcPr>
          <w:p>
            <w:r>
              <w:rPr>
                <w:b w:val="false"/>
                <w:bCs w:val="false"/>
              </w:rPr>
              <w:t xml:space="preserve">50 MW/min</w:t>
            </w:r>
          </w:p>
        </w:tc>
      </w:tr>
      <w:tr>
        <w:tc>
          <w:tcPr>
            <w:tcW w:type="dxa" w:w="3300"/>
          </w:tcPr>
          <w:p>
            <w:r>
              <w:rPr>
                <w:b w:val="false"/>
                <w:bCs w:val="false"/>
              </w:rPr>
              <w:t xml:space="preserve">Cost per MW/min delivered</w:t>
            </w:r>
          </w:p>
        </w:tc>
        <w:tc>
          <w:tcPr>
            <w:tcW w:type="dxa" w:w="3000"/>
          </w:tcPr>
          <w:p>
            <w:r>
              <w:rPr>
                <w:b w:val="false"/>
                <w:bCs w:val="false"/>
              </w:rPr>
              <w:t xml:space="preserve">$4,721,455</w:t>
            </w:r>
          </w:p>
        </w:tc>
        <w:tc>
          <w:tcPr>
            <w:tcW w:type="dxa" w:w="3000"/>
          </w:tcPr>
          <w:p>
            <w:r>
              <w:rPr>
                <w:b w:val="false"/>
                <w:bCs w:val="false"/>
              </w:rPr>
              <w:t xml:space="preserve">$3,854,400</w:t>
            </w:r>
          </w:p>
        </w:tc>
      </w:tr>
    </w:tbl>
    <w:p>
      <w:pPr>
        <w:pStyle w:val="Heading1"/>
        <w:spacing w:after="120" w:before="240"/>
      </w:pPr>
      <w:r>
        <w:t xml:space="preserve">The Trap</w:t>
      </w:r>
    </w:p>
    <w:p>
      <w:pPr>
        <w:pBdr>
          <w:top w:val="single" w:color="666666" w:sz="6"/>
          <w:bottom w:val="single" w:color="666666" w:sz="6"/>
          <w:left w:val="single" w:color="666666" w:sz="6"/>
          <w:right w:val="single" w:color="666666" w:sz="6"/>
        </w:pBdr>
        <w:spacing w:after="240" w:before="120"/>
        <w:ind w:left="100" w:right="100"/>
      </w:pPr>
      <w:r>
        <w:rPr>
          <w:i/>
          <w:iCs/>
        </w:rPr>
        <w:t xml:space="preserve">Most Heroes will jump straight to D4, divide each option's total capital cost by its own delivered rate, see that one number is smaller, and stop — they will never go back and check D3's covered/not-covered result before writing the recommendation. Watch for a student who runs the division, circles the cheaper dollars-per-MW/minute figure, and announces a winner without ever saying out loud which option actually clears 137.5 MW/min and which one doesn't. That Hero has quietly assumed "cheaper per unit" already accounts for whether the unit delivered is the right size — they will miss that the cheap number is buying a smaller job than the evening actually demands. A second group of students will make the mirror-image mistake: they will pick the fully-covering option on reflex, purely because "it covers the whole measured rate," and never pause to ask whether that 137.5 MW/min figure itself — built from a Modeling Assumption's peak instant (Appendix C, MA1), not a directly measured table — is solid enough ground to justify the larger capital premium. Either way, the tell is the same: a pitch that reports only one of D3 or D4 out loud and treats the recommendation as settled the moment the first number lands.</w:t>
      </w:r>
    </w:p>
    <w:p>
      <w:pPr>
        <w:pStyle w:val="Heading1"/>
        <w:spacing w:after="120" w:before="240"/>
      </w:pPr>
      <w:r>
        <w:t xml:space="preserve">Intro</w:t>
      </w:r>
    </w:p>
    <w:p>
      <w:pPr>
        <w:spacing w:after="160"/>
      </w:pPr>
      <w:r>
        <w:rPr>
          <w:b w:val="false"/>
          <w:bCs w:val="false"/>
          <w:i w:val="false"/>
          <w:iCs w:val="false"/>
        </w:rPr>
        <w:t xml:space="preserve">Frame the format before anything else: the committee tomorrow does not care about total megawatts — it is going to ask whether either bid can cover the worst instant of the evening drop. Name the opener: "You have one shift's worth of prep before the capital committee votes on your recommendation."</w:t>
      </w:r>
    </w:p>
    <w:p>
      <w:pPr>
        <w:pStyle w:val="Heading1"/>
        <w:spacing w:after="120" w:before="240"/>
      </w:pPr>
      <w:r>
        <w:t xml:space="preserve">Launch</w:t>
      </w:r>
    </w:p>
    <w:p>
      <w:pPr>
        <w:spacing w:after="160"/>
      </w:pPr>
      <w:r>
        <w:rPr>
          <w:b w:val="false"/>
          <w:bCs w:val="false"/>
          <w:i w:val="false"/>
          <w:iCs w:val="false"/>
        </w:rPr>
        <w:t xml:space="preserve">Show a real evening net-load / "duck curve" chart for a solar-heavy grid — CAISO publishes one daily and it is visually dramatic on its own. Ask: "What do you think happens to everything else on the grid in the hour after this line falls off a cliff?" Let the gut reads stand.</w:t>
      </w:r>
    </w:p>
    <w:p>
      <w:pPr>
        <w:pStyle w:val="Heading1"/>
        <w:spacing w:after="120" w:before="240"/>
      </w:pPr>
      <w:r>
        <w:t xml:space="preserve">Anchor 1 — Take a Stand and Vote</w:t>
      </w:r>
    </w:p>
    <w:p>
      <w:pPr>
        <w:spacing w:after="160"/>
      </w:pPr>
      <w:r>
        <w:rPr>
          <w:b/>
          <w:bCs/>
          <w:i w:val="false"/>
          <w:iCs w:val="false"/>
        </w:rPr>
        <w:t xml:space="preserve">TAKE A STAND AND VOTE. No reasoning yet, just commit.</w:t>
      </w:r>
    </w:p>
    <w:p>
      <w:pPr>
        <w:spacing w:after="160"/>
      </w:pPr>
      <w:r>
        <w:rPr>
          <w:b w:val="false"/>
          <w:bCs w:val="false"/>
          <w:i w:val="false"/>
          <w:iCs w:val="false"/>
        </w:rPr>
        <w:t xml:space="preserve">"Is anyone courageous enough to stand with Lena on the battery, over the gas peaker?" Stand-or-sit, no discussion. Record the count — the Close asks again.</w:t>
      </w:r>
    </w:p>
    <w:p>
      <w:pPr>
        <w:pStyle w:val="Heading1"/>
        <w:spacing w:after="120" w:before="240"/>
      </w:pPr>
      <w:r>
        <w:t xml:space="preserve">Anchor 2 — What Is the Problem We're Solving?</w:t>
      </w:r>
    </w:p>
    <w:p>
      <w:pPr>
        <w:spacing w:after="160"/>
      </w:pPr>
      <w:r>
        <w:rPr>
          <w:b/>
          <w:bCs/>
          <w:i w:val="false"/>
          <w:iCs w:val="false"/>
        </w:rPr>
        <w:t xml:space="preserve">"Is this the right question?" · "What do you mean by 'fast enough'?"</w:t>
      </w:r>
    </w:p>
    <w:p>
      <w:pPr>
        <w:spacing w:after="160"/>
      </w:pPr>
      <w:r>
        <w:rPr>
          <w:b w:val="false"/>
          <w:bCs w:val="false"/>
          <w:i w:val="false"/>
          <w:iCs w:val="false"/>
        </w:rPr>
        <w:t xml:space="preserve">Let confusion grow here; it is deliberate. The room will want to say "the bigger one" or "the one with more megawatts" without asking fast compared to what rate, over what instant. Push:</w:t>
      </w:r>
    </w:p>
    <w:p>
      <w:pPr>
        <w:pStyle w:val="ListParagraph"/>
        <w:numPr>
          <w:ilvl w:val="0"/>
          <w:numId w:val="1"/>
        </w:numPr>
        <w:spacing w:after="80"/>
      </w:pPr>
      <w:r>
        <w:t xml:space="preserve">"Both options produce plenty of power eventually. What does 'eventually' cost the grid?"</w:t>
      </w:r>
    </w:p>
    <w:p>
      <w:pPr>
        <w:pStyle w:val="ListParagraph"/>
        <w:numPr>
          <w:ilvl w:val="0"/>
          <w:numId w:val="1"/>
        </w:numPr>
        <w:spacing w:after="80"/>
      </w:pPr>
      <w:r>
        <w:t xml:space="preserve">"If the battery could respond to any rate at all, would it automatically win? What's its actual limit, if not speed?"</w:t>
      </w:r>
    </w:p>
    <w:p>
      <w:pPr>
        <w:pStyle w:val="ListParagraph"/>
        <w:numPr>
          <w:ilvl w:val="0"/>
          <w:numId w:val="1"/>
        </w:numPr>
        <w:spacing w:after="80"/>
      </w:pPr>
      <w:r>
        <w:t xml:space="preserve">"What's the peaker's limit, if not fuel?"</w:t>
      </w:r>
    </w:p>
    <w:p>
      <w:pPr>
        <w:spacing w:after="160"/>
      </w:pPr>
      <w:r>
        <w:rPr>
          <w:b w:val="false"/>
          <w:bCs w:val="false"/>
          <w:i w:val="false"/>
          <w:iCs w:val="false"/>
        </w:rPr>
        <w:t xml:space="preserve">Do not resolve this. A room that leaves Anchor 2 arguing about rate versus quantity is exactly where it should be.</w:t>
      </w:r>
    </w:p>
    <w:p>
      <w:pPr>
        <w:pStyle w:val="Heading1"/>
        <w:spacing w:after="120" w:before="240"/>
      </w:pPr>
      <w:r>
        <w:t xml:space="preserve">Anchor 3 — What Is the Process?</w:t>
      </w:r>
    </w:p>
    <w:p>
      <w:pPr>
        <w:spacing w:after="160"/>
      </w:pPr>
      <w:r>
        <w:rPr>
          <w:b/>
          <w:bCs/>
          <w:i w:val="false"/>
          <w:iCs w:val="false"/>
        </w:rPr>
        <w:t xml:space="preserve">"If we go through this process and find the data, how will we decide?"</w:t>
      </w:r>
    </w:p>
    <w:p>
      <w:pPr>
        <w:spacing w:after="160"/>
      </w:pPr>
      <w:r>
        <w:rPr>
          <w:b w:val="false"/>
          <w:bCs w:val="false"/>
          <w:i w:val="false"/>
          <w:iCs w:val="false"/>
        </w:rPr>
        <w:t xml:space="preserve">Make them name the steps before any appendix is opened:</w:t>
      </w:r>
    </w:p>
    <w:p>
      <w:pPr>
        <w:pStyle w:val="ListParagraph"/>
        <w:numPr>
          <w:ilvl w:val="0"/>
          <w:numId w:val="1"/>
        </w:numPr>
        <w:spacing w:after="80"/>
      </w:pPr>
      <w:r>
        <w:t xml:space="preserve">1. Build a smooth model of the real evening solar decline from the actual hourly data (D1).</w:t>
      </w:r>
    </w:p>
    <w:p>
      <w:pPr>
        <w:pStyle w:val="ListParagraph"/>
        <w:numPr>
          <w:ilvl w:val="0"/>
          <w:numId w:val="1"/>
        </w:numPr>
        <w:spacing w:after="80"/>
      </w:pPr>
      <w:r>
        <w:t xml:space="preserve">2. Differentiate it to get the instantaneous rate of generation loss at any moment (D1).</w:t>
      </w:r>
    </w:p>
    <w:p>
      <w:pPr>
        <w:pStyle w:val="ListParagraph"/>
        <w:numPr>
          <w:ilvl w:val="0"/>
          <w:numId w:val="1"/>
        </w:numPr>
        <w:spacing w:after="80"/>
      </w:pPr>
      <w:r>
        <w:t xml:space="preserve">3. Find the single worst instant and write the tangent line there — that slope is the rate the grid must actually cover (D2).</w:t>
      </w:r>
    </w:p>
    <w:p>
      <w:pPr>
        <w:pStyle w:val="ListParagraph"/>
        <w:numPr>
          <w:ilvl w:val="0"/>
          <w:numId w:val="1"/>
        </w:numPr>
        <w:spacing w:after="80"/>
      </w:pPr>
      <w:r>
        <w:t xml:space="preserve">4. Convert each resource's own physical limit into the same MW-per-minute units (D3).</w:t>
      </w:r>
    </w:p>
    <w:p>
      <w:pPr>
        <w:pStyle w:val="ListParagraph"/>
        <w:numPr>
          <w:ilvl w:val="0"/>
          <w:numId w:val="1"/>
        </w:numPr>
        <w:spacing w:after="80"/>
      </w:pPr>
      <w:r>
        <w:t xml:space="preserve">5. Check which resource's capability actually covers that worst-instant rate, then compare cost per unit of rate covered — not cost per megawatt (D4).</w:t>
      </w:r>
    </w:p>
    <w:p>
      <w:pPr>
        <w:spacing w:after="160"/>
      </w:pPr>
      <w:r>
        <w:rPr>
          <w:b w:val="false"/>
          <w:bCs w:val="false"/>
          <w:i w:val="false"/>
          <w:iCs w:val="false"/>
        </w:rPr>
        <w:t xml:space="preserve">Re-ask: "Is our question still the right question, now that we can see the steps?"</w:t>
      </w:r>
    </w:p>
    <w:p>
      <w:pPr>
        <w:pStyle w:val="Heading1"/>
        <w:spacing w:after="120" w:before="240"/>
      </w:pPr>
      <w:r>
        <w:t xml:space="preserve">Anchor 4 — What Don't We Know?</w:t>
      </w:r>
    </w:p>
    <w:p>
      <w:pPr>
        <w:spacing w:after="160"/>
      </w:pPr>
      <w:r>
        <w:rPr>
          <w:b/>
          <w:bCs/>
          <w:i w:val="false"/>
          <w:iCs w:val="false"/>
        </w:rPr>
        <w:t xml:space="preserve">"Do we need to make assumptions? Which ones are critical?"</w:t>
      </w:r>
    </w:p>
    <w:p>
      <w:pPr>
        <w:spacing w:after="160"/>
      </w:pPr>
      <w:r>
        <w:rPr>
          <w:b w:val="false"/>
          <w:bCs w:val="false"/>
          <w:i w:val="false"/>
          <w:iCs w:val="false"/>
        </w:rPr>
        <w:t xml:space="preserve">Surface the honest gaps, all of which live in case.md Appendix C:</w:t>
      </w:r>
    </w:p>
    <w:p>
      <w:pPr>
        <w:pStyle w:val="ListParagraph"/>
        <w:numPr>
          <w:ilvl w:val="0"/>
          <w:numId w:val="1"/>
        </w:numPr>
        <w:spacing w:after="80"/>
      </w:pPr>
      <w:r>
        <w:t xml:space="preserve">Whether a published, dated figure exists for a specific battery chemistry/vendor's full-power ramp rate, or only a general "near-instantaneous" characterization.</w:t>
      </w:r>
    </w:p>
    <w:p>
      <w:pPr>
        <w:pStyle w:val="ListParagraph"/>
        <w:numPr>
          <w:ilvl w:val="0"/>
          <w:numId w:val="1"/>
        </w:numPr>
        <w:spacing w:after="80"/>
      </w:pPr>
      <w:r>
        <w:t xml:space="preserve">Whether a published, dated figure exists for a specific gas-turbine model's minimum start-up ramp rate, or only an industry-typical range.</w:t>
      </w:r>
    </w:p>
    <w:p>
      <w:pPr>
        <w:pStyle w:val="ListParagraph"/>
        <w:numPr>
          <w:ilvl w:val="0"/>
          <w:numId w:val="1"/>
        </w:numPr>
        <w:spacing w:after="80"/>
      </w:pPr>
      <w:r>
        <w:t xml:space="preserve">Whether the two technologies' capital-cost figures come from the same cost-basis year and region.</w:t>
      </w:r>
    </w:p>
    <w:p>
      <w:pPr>
        <w:pStyle w:val="Heading1"/>
        <w:spacing w:after="120" w:before="240"/>
      </w:pPr>
      <w:r>
        <w:t xml:space="preserve">Data Deep Dive</w:t>
      </w:r>
    </w:p>
    <w:p>
      <w:pPr>
        <w:spacing w:after="160"/>
      </w:pPr>
      <w:r>
        <w:rPr>
          <w:b w:val="false"/>
          <w:bCs w:val="false"/>
          <w:i w:val="false"/>
          <w:iCs w:val="false"/>
        </w:rPr>
        <w:t xml:space="preserve">Now, and only now, the numbers. Work D1 → D4 as a room. Cold-call specifically on D2's differentiability justification: a Hero who writes a tangent line without addressing why a single smooth P(t) is being used across an hour boundary — where the raw hourly data itself is not smooth — has skipped the part of the deliverable that is actually named differentiable.</w:t>
      </w:r>
    </w:p>
    <w:p>
      <w:pPr>
        <w:pStyle w:val="Heading1"/>
        <w:spacing w:after="120" w:before="240"/>
      </w:pPr>
      <w:r>
        <w:t xml:space="preserve">Twist (15-Minute Mark)</w:t>
      </w:r>
    </w:p>
    <w:p>
      <w:pPr>
        <w:spacing w:after="160"/>
      </w:pPr>
      <w:r>
        <w:rPr>
          <w:b w:val="false"/>
          <w:bCs w:val="false"/>
          <w:i w:val="false"/>
          <w:iCs w:val="false"/>
        </w:rPr>
        <w:t xml:space="preserve">Reveal that real balancing authorities don't actually pick one resource alone — CAISO's own real operational history is exactly why battery storage discharge in its territory has tripled in recent years: peakers alone kept leaving a gap like D3's 87.5 MW/min shortfall. Reveal that a much smaller battery — just enough to cover the peaker's shortfall rather than replace it outright — could be paired with Option B for a fraction of Option A's full battery cost. "You now have 60 seconds: does adding a small backstop battery to the peaker change your vote — and if it does, why didn't 'pair them' occur to you as a third path the first time through?"</w:t>
      </w:r>
    </w:p>
    <w:p>
      <w:pPr>
        <w:spacing w:after="160"/>
      </w:pPr>
      <w:r>
        <w:rPr>
          <w:b w:val="false"/>
          <w:bCs w:val="false"/>
          <w:i w:val="false"/>
          <w:iCs w:val="false"/>
        </w:rPr>
        <w:t xml:space="preserve">This twist needs no new sourced number — it runs on figures already on the table (the 87.5 MW/min gap from D3, and the $1,744/kW battery cost basis from Appendix A) and is computable live in the room. It also exposes the case's binary framing as an intentional simplification: the real decision doesn't have to be all-or-nothing, and noticing that is itself the lesson.</w:t>
      </w:r>
    </w:p>
    <w:p>
      <w:pPr>
        <w:pStyle w:val="Heading1"/>
        <w:spacing w:after="120" w:before="240"/>
      </w:pPr>
      <w:r>
        <w:t xml:space="preserve">Deep Conflict</w:t>
      </w:r>
    </w:p>
    <w:p>
      <w:pPr>
        <w:spacing w:after="160"/>
      </w:pPr>
      <w:r>
        <w:rPr>
          <w:b w:val="false"/>
          <w:bCs w:val="false"/>
          <w:i w:val="false"/>
          <w:iCs w:val="false"/>
        </w:rPr>
        <w:t xml:space="preserve">One thread (T3, full band; compress further for smaller cohorts). A resource that is fast but shallow, versus a resource that is slow but deep. The battery can match any rate the grid throws at it — for four hours. The peaker ramps at a fixed, finite rate no matter how badly the grid needs it to go faster — but it can do that all night. Push: "If the measured ramp rate is faster than the peaker's real limit, is 120 MW of nameplate capacity worth anything at all in that instant?"</w:t>
      </w:r>
    </w:p>
    <w:p>
      <w:pPr>
        <w:pStyle w:val="Heading1"/>
        <w:spacing w:after="120" w:before="240"/>
      </w:pPr>
      <w:r>
        <w:t xml:space="preserve">45-Minute Socratic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color="auto" w:val="clear"/>
          </w:tcPr>
          <w:p>
            <w:r>
              <w:rPr>
                <w:b/>
                <w:bCs/>
              </w:rPr>
              <w:t xml:space="preserve">Time</w:t>
            </w:r>
          </w:p>
        </w:tc>
        <w:tc>
          <w:tcPr>
            <w:tcW w:type="dxa" w:w="6900"/>
            <w:shd w:fill="D9E2F3" w:color="auto" w:val="clear"/>
          </w:tcPr>
          <w:p>
            <w:r>
              <w:rPr>
                <w:b/>
                <w:bCs/>
              </w:rPr>
              <w:t xml:space="preserve">Move</w:t>
            </w:r>
          </w:p>
        </w:tc>
      </w:tr>
      <w:tr>
        <w:tc>
          <w:tcPr>
            <w:tcW w:type="dxa" w:w="2400"/>
          </w:tcPr>
          <w:p>
            <w:r>
              <w:rPr>
                <w:b w:val="false"/>
                <w:bCs w:val="false"/>
              </w:rPr>
              <w:t xml:space="preserve">0:00–3:00</w:t>
            </w:r>
          </w:p>
        </w:tc>
        <w:tc>
          <w:tcPr>
            <w:tcW w:type="dxa" w:w="6900"/>
          </w:tcPr>
          <w:p>
            <w:r>
              <w:rPr>
                <w:b w:val="false"/>
                <w:bCs w:val="false"/>
              </w:rPr>
              <w:t xml:space="preserve">Launch — real evening net-load chart, cold-call for a gut read, no formulas yet</w:t>
            </w:r>
          </w:p>
        </w:tc>
      </w:tr>
      <w:tr>
        <w:tc>
          <w:tcPr>
            <w:tcW w:type="dxa" w:w="2400"/>
          </w:tcPr>
          <w:p>
            <w:r>
              <w:rPr>
                <w:b w:val="false"/>
                <w:bCs w:val="false"/>
              </w:rPr>
              <w:t xml:space="preserve">3:00–8:00</w:t>
            </w:r>
          </w:p>
        </w:tc>
        <w:tc>
          <w:tcPr>
            <w:tcW w:type="dxa" w:w="6900"/>
          </w:tcPr>
          <w:p>
            <w:r>
              <w:rPr>
                <w:b w:val="false"/>
                <w:bCs w:val="false"/>
              </w:rPr>
              <w:t xml:space="preserve">Anchor 1 vote, then Anchor 2 — push on "fast compared to what rate, over what instant?"</w:t>
            </w:r>
          </w:p>
        </w:tc>
      </w:tr>
      <w:tr>
        <w:tc>
          <w:tcPr>
            <w:tcW w:type="dxa" w:w="2400"/>
          </w:tcPr>
          <w:p>
            <w:r>
              <w:rPr>
                <w:b w:val="false"/>
                <w:bCs w:val="false"/>
              </w:rPr>
              <w:t xml:space="preserve">8:00–15:00</w:t>
            </w:r>
          </w:p>
        </w:tc>
        <w:tc>
          <w:tcPr>
            <w:tcW w:type="dxa" w:w="6900"/>
          </w:tcPr>
          <w:p>
            <w:r>
              <w:rPr>
                <w:b w:val="false"/>
                <w:bCs w:val="false"/>
              </w:rPr>
              <w:t xml:space="preserve">Anchor 3 process + Anchor 4 unknowns, named before any appendix opens</w:t>
            </w:r>
          </w:p>
        </w:tc>
      </w:tr>
      <w:tr>
        <w:tc>
          <w:tcPr>
            <w:tcW w:type="dxa" w:w="2400"/>
          </w:tcPr>
          <w:p>
            <w:r>
              <w:rPr>
                <w:b w:val="false"/>
                <w:bCs w:val="false"/>
              </w:rPr>
              <w:t xml:space="preserve">15:00–30:00</w:t>
            </w:r>
          </w:p>
        </w:tc>
        <w:tc>
          <w:tcPr>
            <w:tcW w:type="dxa" w:w="6900"/>
          </w:tcPr>
          <w:p>
            <w:r>
              <w:rPr>
                <w:b w:val="false"/>
                <w:bCs w:val="false"/>
              </w:rPr>
              <w:t xml:space="preserve">Data Deep Dive — work D1→D4 as a room; cold-call D2's differentiability justification</w:t>
            </w:r>
          </w:p>
        </w:tc>
      </w:tr>
      <w:tr>
        <w:tc>
          <w:tcPr>
            <w:tcW w:type="dxa" w:w="2400"/>
          </w:tcPr>
          <w:p>
            <w:r>
              <w:rPr>
                <w:b w:val="false"/>
                <w:bCs w:val="false"/>
              </w:rPr>
              <w:t xml:space="preserve">30:00</w:t>
            </w:r>
          </w:p>
        </w:tc>
        <w:tc>
          <w:tcPr>
            <w:tcW w:type="dxa" w:w="6900"/>
          </w:tcPr>
          <w:p>
            <w:r>
              <w:rPr>
                <w:b w:val="false"/>
                <w:bCs w:val="false"/>
              </w:rPr>
              <w:t xml:space="preserve">DROP THE TWIST — the backstop-battery pairing</w:t>
            </w:r>
          </w:p>
        </w:tc>
      </w:tr>
      <w:tr>
        <w:tc>
          <w:tcPr>
            <w:tcW w:type="dxa" w:w="2400"/>
          </w:tcPr>
          <w:p>
            <w:r>
              <w:rPr>
                <w:b w:val="false"/>
                <w:bCs w:val="false"/>
              </w:rPr>
              <w:t xml:space="preserve">30:00–31:00</w:t>
            </w:r>
          </w:p>
        </w:tc>
        <w:tc>
          <w:tcPr>
            <w:tcW w:type="dxa" w:w="6900"/>
          </w:tcPr>
          <w:p>
            <w:r>
              <w:rPr>
                <w:b w:val="false"/>
                <w:bCs w:val="false"/>
              </w:rPr>
              <w:t xml:space="preserve">60-second immediate recommit — does the twist change the vote?</w:t>
            </w:r>
          </w:p>
        </w:tc>
      </w:tr>
      <w:tr>
        <w:tc>
          <w:tcPr>
            <w:tcW w:type="dxa" w:w="2400"/>
          </w:tcPr>
          <w:p>
            <w:r>
              <w:rPr>
                <w:b w:val="false"/>
                <w:bCs w:val="false"/>
              </w:rPr>
              <w:t xml:space="preserve">31:00–40:00</w:t>
            </w:r>
          </w:p>
        </w:tc>
        <w:tc>
          <w:tcPr>
            <w:tcW w:type="dxa" w:w="6900"/>
          </w:tcPr>
          <w:p>
            <w:r>
              <w:rPr>
                <w:b w:val="false"/>
                <w:bCs w:val="false"/>
              </w:rPr>
              <w:t xml:space="preserve">Deep conflict thread — fast-but-shallow vs. slow-but-deep</w:t>
            </w:r>
          </w:p>
        </w:tc>
      </w:tr>
      <w:tr>
        <w:tc>
          <w:tcPr>
            <w:tcW w:type="dxa" w:w="2400"/>
          </w:tcPr>
          <w:p>
            <w:r>
              <w:rPr>
                <w:b w:val="false"/>
                <w:bCs w:val="false"/>
              </w:rPr>
              <w:t xml:space="preserve">40:00–45:00</w:t>
            </w:r>
          </w:p>
        </w:tc>
        <w:tc>
          <w:tcPr>
            <w:tcW w:type="dxa" w:w="6900"/>
          </w:tcPr>
          <w:p>
            <w:r>
              <w:rPr>
                <w:b w:val="false"/>
                <w:bCs w:val="false"/>
              </w:rPr>
              <w:t xml:space="preserve">Close, re-vote, reflection, lessons learned</w:t>
            </w:r>
          </w:p>
        </w:tc>
      </w:tr>
    </w:tbl>
    <w:p>
      <w:pPr>
        <w:pStyle w:val="Heading1"/>
        <w:spacing w:after="120" w:before="240"/>
      </w:pPr>
      <w:r>
        <w:t xml:space="preserve">Socratic Questions</w:t>
      </w:r>
    </w:p>
    <w:p>
      <w:pPr>
        <w:pStyle w:val="ListParagraph"/>
        <w:numPr>
          <w:ilvl w:val="0"/>
          <w:numId w:val="1"/>
        </w:numPr>
        <w:spacing w:after="80"/>
      </w:pPr>
      <w:r>
        <w:t xml:space="preserve">1. Your D2 tangent line's slope is the instantaneous ramp rate at the worst single instant of the evening — why is that number, and not the average rate over the whole hour, the one the committee actually needs?</w:t>
      </w:r>
    </w:p>
    <w:p>
      <w:pPr>
        <w:pStyle w:val="ListParagraph"/>
        <w:numPr>
          <w:ilvl w:val="0"/>
          <w:numId w:val="1"/>
        </w:numPr>
        <w:spacing w:after="80"/>
      </w:pPr>
      <w:r>
        <w:t xml:space="preserve">2. If the battery could sustain its full ramp-rate capability for only 90 minutes instead of 4 hours, would that change your D3 covered/not-covered determination, and would it change your D4 cost comparison?</w:t>
      </w:r>
    </w:p>
    <w:p>
      <w:pPr>
        <w:pStyle w:val="ListParagraph"/>
        <w:numPr>
          <w:ilvl w:val="0"/>
          <w:numId w:val="1"/>
        </w:numPr>
        <w:spacing w:after="80"/>
      </w:pPr>
      <w:r>
        <w:t xml:space="preserve">3. The gas peaker has a hard physical floor on how fast it can ramp — what would have to be true about tomorrow's forecast for that floor to disqualify it entirely, regardless of cost?</w:t>
      </w:r>
    </w:p>
    <w:p>
      <w:pPr>
        <w:pStyle w:val="ListParagraph"/>
        <w:numPr>
          <w:ilvl w:val="0"/>
          <w:numId w:val="1"/>
        </w:numPr>
        <w:spacing w:after="80"/>
      </w:pPr>
      <w:r>
        <w:t xml:space="preserve">4. Which of your Appendix A figures, if it moved by 20%, would flip your D4 recommendation — and which could move by 50% and still not flip it?</w:t>
      </w:r>
    </w:p>
    <w:p>
      <w:pPr>
        <w:pStyle w:val="ListParagraph"/>
        <w:numPr>
          <w:ilvl w:val="0"/>
          <w:numId w:val="1"/>
        </w:numPr>
        <w:spacing w:after="80"/>
      </w:pPr>
      <w:r>
        <w:t xml:space="preserve">5. Lena's name is on this recommendation, not just the math — if one option barely covers the measured rate and the other clearly doesn't, but costs far less per unit of rate covered, which argument do you lead with in the committee room, and why?</w:t>
      </w:r>
    </w:p>
    <w:p>
      <w:pPr>
        <w:pStyle w:val="Heading1"/>
        <w:spacing w:after="120" w:before="240"/>
      </w:pPr>
      <w:r>
        <w:t xml:space="preserve">Close</w:t>
      </w:r>
    </w:p>
    <w:p>
      <w:pPr>
        <w:spacing w:after="160"/>
      </w:pPr>
      <w:r>
        <w:rPr>
          <w:b w:val="false"/>
          <w:bCs w:val="false"/>
          <w:i w:val="false"/>
          <w:iCs w:val="false"/>
        </w:rPr>
        <w:t xml:space="preserve">VOTE AGAIN. Then: "Did we ask the right question at the start?" and "What math was new to you tonight, and how did you actually attack it?"</w:t>
      </w:r>
    </w:p>
    <w:p>
      <w:pPr>
        <w:pStyle w:val="Heading1"/>
        <w:spacing w:after="120" w:before="240"/>
      </w:pPr>
      <w:r>
        <w:t xml:space="preserve">What a Strong Defense Sounds Like</w:t>
      </w:r>
    </w:p>
    <w:p>
      <w:pPr>
        <w:spacing w:after="160"/>
      </w:pPr>
      <w:r>
        <w:rPr>
          <w:b w:val="false"/>
          <w:bCs w:val="false"/>
          <w:i w:val="false"/>
          <w:iCs w:val="false"/>
        </w:rPr>
        <w:t xml:space="preserve">Not an answer key — a description of reasoning quality, because the case has no single right answer. A strong defense names both D3 (does the option's own capability clear the D2 rate) and D4 (cost per unit actually delivered) explicitly, rather than reporting only one and treating the recommendation as settled. It states which figure is a sourced fact (S1–S5) versus a modeling assumption (MA1) and reasons about how sensitive the recommendation is to that assumption — using the sensitivity range below rather than treating 137.5 MW/min as untouchable. It engages with the twist (a backstop battery paired with the peaker) as a live third option rather than dismissing it, and it makes the recommendation in Lena's voice, aware that her name — not just the math — is attached to it.</w:t>
      </w:r>
    </w:p>
    <w:p>
      <w:pPr>
        <w:pStyle w:val="Heading1"/>
        <w:spacing w:after="120" w:before="240"/>
      </w:pPr>
      <w:r>
        <w:t xml:space="preserve">Where the 137.5 MW/min Figure Comes From, and Why It Matters</w:t>
      </w:r>
    </w:p>
    <w:p>
      <w:pPr>
        <w:spacing w:after="160"/>
      </w:pPr>
      <w:r>
        <w:rPr>
          <w:b w:val="false"/>
          <w:bCs w:val="false"/>
          <w:i w:val="false"/>
          <w:iCs w:val="false"/>
        </w:rPr>
        <w:t xml:space="preserve">It is the tangent-line slope of a quadratic fit through three real-anchored hourly points (D1/D2), evaluated at the fitted window's late edge (19:00) — not a directly measured minute-by-minute figure. The hourly data itself is a stated Modeling Assumption (MA1) built to match one real, cited statistic (CAISO's average 6.5 GW/hour ramp during the 6pm hour). A different, equally plausible curve through the same hourly total could put the peak instantaneous rate anywhere from about 108 MW/min up past 137.5 MW/min — meaning the peaker's covered/not-covered verdict is genuinely sensitive to a modeling choice the Hero should be pushed to notice, not treat as settled fact.</w:t>
      </w:r>
    </w:p>
    <w:p>
      <w:pPr>
        <w:spacing w:after="160"/>
      </w:pPr>
      <w:r>
        <w:rPr>
          <w:b w:val="false"/>
          <w:bCs w:val="false"/>
          <w:i w:val="false"/>
          <w:iCs w:val="false"/>
        </w:rPr>
        <w:t xml:space="preserve">Sensitivity, one dial at a time. If the true peak instantaneous rate were closer to the hourly average (108 MW/min) instead of the fitted-model's edge value (137.5 MW/min), the peaker would still fail to cover it (108 &gt; 50), so B's covered/not-covered verdict is not fragile. B's cost per MW/min stays flat at $3,854,400 either way, because it is always capped at B's own fixed 50 MW/min ceiling regardless of the required rate. A's cost per MW/min, by contrast, is capital divided directly by whatever the required rate turns out to be — a lower required rate spreads the same $649,200,000 over a smaller denominator, so A's figure gets worse, not better: at 108 MW/min it rises to about $6,011,111/MW-min, and B's percentage lead over A widens from 18.4% to about 35.9%. The margin is real and not a knife-edge artifact of the exact 137.5 figure — if anything, the case is conservative in A's favor as drafted.</w:t>
      </w:r>
    </w:p>
    <w:p>
      <w:pPr>
        <w:pBdr>
          <w:top w:val="single" w:color="666666" w:sz="6"/>
          <w:bottom w:val="single" w:color="666666" w:sz="6"/>
          <w:left w:val="single" w:color="666666" w:sz="6"/>
          <w:right w:val="single" w:color="666666" w:sz="6"/>
        </w:pBdr>
        <w:spacing w:after="240" w:before="120"/>
        <w:ind w:left="100" w:right="100"/>
      </w:pPr>
      <w:r>
        <w:rPr>
          <w:i/>
          <w:iCs/>
        </w:rPr>
        <w:t xml:space="preserve">Disclosed P5 instability (2026-08-17). The paragraph above tests the case's own documented 108–137.5+ MW/min range and the recommendation holds throughout it. A much larger, mechanical ±50% stress test of the raw 17:00/18:00 net-load table entries themselves (t60_net_load_mw, t120_net_load_mw in sensitivity_model.py) — a far bigger swing than MA1's own disclosed uncertainty — does flip the recommendation to Option A in every direction tested, because that big a swing sharply changes the fitted quadratic's curvature and therefore the D2 rate itself. This is recorded, categorized, and justified in case.json.sensitivity_disclosure[] (Category I — interpolation within the fitted window, not extrapolation) rather than hidden; a guide should be ready for a room that pushes hard on "what if the 17:00/18:00 figures were very different" to hear that the recommendation is not resilient to a change that large, only to the smaller, more realistic range the case itself already flags.</w:t>
      </w:r>
    </w:p>
    <w:p>
      <w:pPr>
        <w:pStyle w:val="Heading1"/>
        <w:spacing w:after="120" w:before="240"/>
      </w:pPr>
      <w:r>
        <w:t xml:space="preserve">Skills This Case Exercises</w:t>
      </w:r>
    </w:p>
    <w:p>
      <w:pPr>
        <w:spacing w:after="160"/>
      </w:pPr>
      <w:r>
        <w:rPr>
          <w:b w:val="false"/>
          <w:bCs w:val="false"/>
          <w:i w:val="false"/>
          <w:iCs w:val="false"/>
        </w:rPr>
        <w:t xml:space="preserve">Name these in debrief: Derivative · Instantaneous Rate Of Change · Tangent Line · Differentiable · How to find a derivative using the power rule · How to find the equation of a tangent line at a point · How to convert an amount with compound units · How to find the percent of a number.</w:t>
      </w:r>
    </w:p>
    <w:p>
      <w:pPr>
        <w:pStyle w:val="Heading1"/>
        <w:spacing w:after="120" w:before="240"/>
      </w:pPr>
      <w:r>
        <w:t xml:space="preserve">Lessons Learned</w:t>
      </w:r>
    </w:p>
    <w:p>
      <w:pPr>
        <w:spacing w:after="160"/>
      </w:pPr>
      <w:r>
        <w:rPr>
          <w:b w:val="false"/>
          <w:bCs w:val="false"/>
          <w:i/>
          <w:iCs/>
        </w:rPr>
        <w:t xml:space="preserve">(To be filled after the first real run — placeholder structure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2026-08-17T19:27:29.699Z</dcterms:created>
  <dcterms:modified xsi:type="dcterms:W3CDTF">2026-08-17T19:27:29.700Z</dcterms:modified>
</cp:coreProperties>
</file>

<file path=docProps/custom.xml><?xml version="1.0" encoding="utf-8"?>
<Properties xmlns="http://schemas.openxmlformats.org/officeDocument/2006/custom-properties" xmlns:vt="http://schemas.openxmlformats.org/officeDocument/2006/docPropsVTypes"/>
</file>