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Tide Window</w:t>
      </w:r>
    </w:p>
    <w:p>
      <w:pPr>
        <w:spacing w:after="240"/>
        <w:jc w:val="center"/>
      </w:pPr>
      <w:r>
        <w:rPr>
          <w:i/>
          <w:iCs/>
          <w:sz w:val="22"/>
          <w:szCs w:val="22"/>
        </w:rPr>
        <w:t xml:space="preserve">MS | Math | Case Study | 2026-27 | Launchpad</w:t>
      </w:r>
    </w:p>
    <w:p>
      <w:pPr>
        <w:pStyle w:val="Heading2"/>
        <w:spacing w:after="120" w:before="240"/>
      </w:pPr>
      <w:r>
        <w:t xml:space="preserve">Overview</w:t>
      </w:r>
    </w:p>
    <w:p>
      <w:r>
        <w:t xml:space="preserve">The radio in Amara Osei's hand goes quiet the second the tug captain stops talking, and for a moment all she can hear is water sliding along the hull below her boots. She is standing on the bridge wing of the </w:t>
      </w:r>
      <w:r>
        <w:rPr>
          <w:i/>
          <w:iCs/>
        </w:rPr>
        <w:t xml:space="preserve">Solveig Trader</w:t>
      </w:r>
      <w:r>
        <w:t xml:space="preserve">, loaded and waiting in the dark, and the call in front of her is hers alone to make. Six months a licensed harbor pilot, and this is the first time no one senior is standing beside her.</w:t>
      </w:r>
    </w:p>
    <w:p>
      <w:r>
        <w:t xml:space="preserve">Behind her, on the chart table, two tide curves are pinned side by side, and neither one is comfortable. The rain that soaked her jacket on the walk down to the pilot boat has stopped, but the barometer in the wheelhouse hasn't moved the way she'd like. Somewhere below the waterline, the </w:t>
      </w:r>
      <w:r>
        <w:rPr>
          <w:i/>
          <w:iCs/>
        </w:rPr>
        <w:t xml:space="preserve">Solveig Trader</w:t>
      </w:r>
      <w:r>
        <w:t xml:space="preserve">'s keel is closer to the harbor bottom than either of the ship's own officers seem to appreciate.</w:t>
      </w:r>
    </w:p>
    <w:p>
      <w:r>
        <w:t xml:space="preserve">The tug captain wants an answer before the current turns. The shipping line wants the berth kept on schedule. And Amara — whose name goes on the pilotage log either way — wants the arithmetic to be right before she says a word into the radio.</w:t>
      </w:r>
    </w:p>
    <w:p>
      <w:r>
        <w:t xml:space="preserve">She looks at the chart, then at the clock, then at the chart again.</w:t>
      </w:r>
    </w:p>
    <w:p>
      <w:r>
        <w:t xml:space="preserve">"Two options," the tug captain says. "Tell me which one."</w:t>
      </w:r>
    </w:p>
    <w:p>
      <w:pPr>
        <w:pStyle w:val="Heading2"/>
        <w:spacing w:after="120" w:before="240"/>
      </w:pPr>
      <w:r>
        <w:t xml:space="preserve">Background</w:t>
      </w:r>
    </w:p>
    <w:p>
      <w:r>
        <w:t xml:space="preserve">Amara Osei is a harbor pilot for the Port of Kesterhaven Pilots' Association, licensed six months ago after a multi-year apprenticeship. Once she boards a vessel and takes the conn for a transit, she is legally responsible for its safe passage through the harbor channel — the ship's own captain retains command, but the pilotage log carries her name and her judgment.</w:t>
      </w:r>
    </w:p>
    <w:p>
      <w:r>
        <w:t xml:space="preserve">The </w:t>
      </w:r>
      <w:r>
        <w:rPr>
          <w:i/>
          <w:iCs/>
        </w:rPr>
        <w:t xml:space="preserve">Solveig Trader</w:t>
      </w:r>
      <w:r>
        <w:t xml:space="preserve"> is a loaded cargo vessel under charter to a shipping line with a fixed delivery window at the container berth (SEE APPENDIX C). Two transit options are on the table tonight.</w:t>
      </w:r>
    </w:p>
    <w:p>
      <w:r>
        <w:rPr>
          <w:b/>
          <w:bCs/>
        </w:rPr>
        <w:t xml:space="preserve">The Dawn Transit</w:t>
      </w:r>
      <w:r>
        <w:t xml:space="preserve"> would move the ship out through the channel during the marginal low tide before sunrise, keeping the delivery on its contracted schedule. The tide prediction for the station (SEE APPENDIX A) shows the water level at that hour is low enough that the under-keel clearance — the gap between the ship's loaded draft and the charted channel depth (SEE APPENDIX B) — is real but thin.</w:t>
      </w:r>
    </w:p>
    <w:p>
      <w:r>
        <w:rPr>
          <w:b/>
          <w:bCs/>
        </w:rPr>
        <w:t xml:space="preserve">The Slack Tide</w:t>
      </w:r>
      <w:r>
        <w:t xml:space="preserve"> would hold the ship at berth until the next high tide, several hours later, when the clearance is comfortable under any reasonable reading of the data. It guarantees a safe transit but breaks the shipping line's contracted delivery window, triggering a penalty (SEE APPENDIX C).</w:t>
      </w:r>
    </w:p>
    <w:p>
      <w:r>
        <w:t xml:space="preserve">Two complicating conditions apply to either choice. First, the harbor's tide station reports water level as a predicted curve, not a fixed number — the actual level at any given moment can run higher or lower than predicted under real barometric and wind conditions (SEE APPENDIX D). Second, the Pilots' Association's own safety manual sets a minimum acceptable under-keel clearance below which a pilot may not authorize a transit, regardless of schedule pressure (SEE APPENDIX B).</w:t>
      </w:r>
    </w:p>
    <w:p>
      <w:r>
        <w:t xml:space="preserve">Amara has the tide predictions, the ship's draft, and the contract terms in front of her. She does not have another pilot to check her arithmetic against. Where a figure below is not a matter of public record, it is stated as an explicit modeling assumption (SEE APPENDIX E) rather than guessed.</w:t>
      </w:r>
    </w:p>
    <w:p>
      <w:r>
        <w:t xml:space="preserve">The vocabulary and the "how to…" skills this case will ask of you are listed in </w:t>
      </w:r>
      <w:r>
        <w:rPr>
          <w:b/>
          <w:bCs/>
        </w:rPr>
        <w:t xml:space="preserve">Appendix G</w:t>
      </w:r>
      <w:r>
        <w:t xml:space="preserve"> — that is where Challenge 1 sends you. (SEE APPENDIX F for further reading on harbor pilotage and tide prediction.)</w:t>
      </w:r>
    </w:p>
    <w:p>
      <w:pPr>
        <w:pStyle w:val="Heading2"/>
        <w:spacing w:after="120" w:before="240"/>
      </w:pPr>
      <w:r>
        <w:t xml:space="preserve">Dilemma</w:t>
      </w:r>
    </w:p>
    <w:p>
      <w:r>
        <w:t xml:space="preserve">You are Amara Osei. Do you: A.) Authorize the Dawn Transit — move the </w:t>
      </w:r>
      <w:r>
        <w:rPr>
          <w:i/>
          <w:iCs/>
        </w:rPr>
        <w:t xml:space="preserve">Solveig Trader</w:t>
      </w:r>
      <w:r>
        <w:t xml:space="preserve"> out through the channel on the marginal low tide, keeping the delivery on schedule OR B.) Hold for the Slack Tide — wait for the next high tide, missing the contracted delivery window</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worked angle table for each key clock time across the transit window: the time     converted to the tide model's angle in degrees and in radians, the reference angle, and the     sine, cosine, and tangent of that reference angle, found using the unit circle.     D2. A stated sine or cosine function modeling the tide station's predicted water level over     the transit window, naming its amplitude and period, fitted to the real harmonic data in     Appendix A.     D3. An under-keel clearance table comparing the Dawn Transit and the Slack Tide, in feet,     built by evaluating your D2 model at the times from D1.     D4. A written sensitivity check: using the barometric/storm-surge range in Appendix D, show     whether the Dawn Transit's clearance margin survives the worst case in that range, and state     the assumption you used to model it.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Tide Station Predictions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Station name and NOAA station id</w:t>
            </w:r>
          </w:p>
        </w:tc>
        <w:tc>
          <w:tcPr>
            <w:tcW w:type="dxa" w:w="4500"/>
          </w:tcPr>
          <w:p>
            <w:r>
              <w:t xml:space="preserve">Charleston, SC — NOAA station 8665530 [S1]</w:t>
            </w:r>
          </w:p>
        </w:tc>
      </w:tr>
      <w:tr>
        <w:tc>
          <w:tcPr>
            <w:tcW w:type="dxa" w:w="4500"/>
          </w:tcPr>
          <w:p>
            <w:r>
              <w:t xml:space="preserve">Mean sea level datum (ft, station datum)</w:t>
            </w:r>
          </w:p>
        </w:tc>
        <w:tc>
          <w:tcPr>
            <w:tcW w:type="dxa" w:w="4500"/>
          </w:tcPr>
          <w:p>
            <w:r>
              <w:t xml:space="preserve">5.69 ft (epoch 1983-2001) [S2]</w:t>
            </w:r>
          </w:p>
        </w:tc>
      </w:tr>
      <w:tr>
        <w:tc>
          <w:tcPr>
            <w:tcW w:type="dxa" w:w="4500"/>
          </w:tcPr>
          <w:p>
            <w:r>
              <w:t xml:space="preserve">Dominant tidal constituent (M2) amplitude (ft)</w:t>
            </w:r>
          </w:p>
        </w:tc>
        <w:tc>
          <w:tcPr>
            <w:tcW w:type="dxa" w:w="4500"/>
          </w:tcPr>
          <w:p>
            <w:r>
              <w:t xml:space="preserve">2.52 ft [S3]</w:t>
            </w:r>
          </w:p>
        </w:tc>
      </w:tr>
      <w:tr>
        <w:tc>
          <w:tcPr>
            <w:tcW w:type="dxa" w:w="4500"/>
          </w:tcPr>
          <w:p>
            <w:r>
              <w:t xml:space="preserve">Dominant tidal constituent (M2) period (h)</w:t>
            </w:r>
          </w:p>
        </w:tc>
        <w:tc>
          <w:tcPr>
            <w:tcW w:type="dxa" w:w="4500"/>
          </w:tcPr>
          <w:p>
            <w:r>
              <w:t xml:space="preserve">12.42 h (derived from the constituent's published speed, 28.984104°/hour) [S3]</w:t>
            </w:r>
          </w:p>
        </w:tc>
      </w:tr>
      <w:tr>
        <w:tc>
          <w:tcPr>
            <w:tcW w:type="dxa" w:w="4500"/>
          </w:tcPr>
          <w:p>
            <w:r>
              <w:t xml:space="preserve">Predicted water level, key times across the transit window (ft, MLLW)</w:t>
            </w:r>
          </w:p>
        </w:tc>
        <w:tc>
          <w:tcPr>
            <w:tcW w:type="dxa" w:w="4500"/>
          </w:tcPr>
          <w:p>
            <w:r>
              <w:t xml:space="preserve">Low 04:33 (−0.176 ft) · High 10:51 (5.831 ft) · Low 16:52 (0.016 ft) · High 23:01 (5.865 ft) — 2026-08-15/16 [S4]</w:t>
            </w:r>
          </w:p>
        </w:tc>
      </w:tr>
    </w:tbl>
    <w:p/>
    <w:p>
      <w:pPr>
        <w:pStyle w:val="Heading2"/>
        <w:spacing w:after="120" w:before="240"/>
      </w:pPr>
      <w:r>
        <w:t xml:space="preserve">Appendix B: Vessel Draft &amp; Channel Clearance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rPr>
                <w:i/>
                <w:iCs/>
              </w:rPr>
              <w:t xml:space="preserve">Solveig Trader</w:t>
            </w:r>
            <w:r>
              <w:t xml:space="preserve"> loaded draft (ft)</w:t>
            </w:r>
          </w:p>
        </w:tc>
        <w:tc>
          <w:tcPr>
            <w:tcW w:type="dxa" w:w="4500"/>
          </w:tcPr>
          <w:p>
            <w:r>
              <w:t xml:space="preserve">49 ft (modeled on the Maersk A-class, 8,272 TEU, 15 m draft) [S5]</w:t>
            </w:r>
          </w:p>
        </w:tc>
      </w:tr>
      <w:tr>
        <w:tc>
          <w:tcPr>
            <w:tcW w:type="dxa" w:w="4500"/>
          </w:tcPr>
          <w:p>
            <w:r>
              <w:t xml:space="preserve">Charted channel depth at the pilot station (ft)</w:t>
            </w:r>
          </w:p>
        </w:tc>
        <w:tc>
          <w:tcPr>
            <w:tcW w:type="dxa" w:w="4500"/>
          </w:tcPr>
          <w:p>
            <w:r>
              <w:t xml:space="preserve">54 ft (entrance channel); 52 ft (inner harbor) [S6]. </w:t>
            </w:r>
            <w:r>
              <w:rPr>
                <w:b/>
                <w:bCs/>
              </w:rPr>
              <w:t xml:space="preserve">This case's clearance figures use the 54 ft entrance-channel depth as the governing depth for the Dawn Transit — see Modeling Assumptions, MA4.</w:t>
            </w:r>
          </w:p>
        </w:tc>
      </w:tr>
      <w:tr>
        <w:tc>
          <w:tcPr>
            <w:tcW w:type="dxa" w:w="4500"/>
          </w:tcPr>
          <w:p>
            <w:r>
              <w:t xml:space="preserve">Pilots' Association minimum under-keel clearance policy</w:t>
            </w:r>
          </w:p>
        </w:tc>
        <w:tc>
          <w:tcPr>
            <w:tcW w:type="dxa" w:w="4500"/>
          </w:tcPr>
          <w:p>
            <w:r>
              <w:t xml:space="preserve">1 meter (≈3.28 ft) during channel/basin transit [S7]</w:t>
            </w:r>
          </w:p>
        </w:tc>
      </w:tr>
    </w:tbl>
    <w:p/>
    <w:p>
      <w:pPr>
        <w:pStyle w:val="Heading2"/>
        <w:spacing w:after="120" w:before="240"/>
      </w:pPr>
      <w:r>
        <w:t xml:space="preserve">Appendix C: Charter &amp; Delivery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Contracted delivery window</w:t>
            </w:r>
          </w:p>
        </w:tc>
        <w:tc>
          <w:tcPr>
            <w:tcW w:type="dxa" w:w="4500"/>
          </w:tcPr>
          <w:p>
            <w:r>
              <w:t xml:space="preserve">See Modeling Assumptions, MA1 — no public figure exists for this fictional charter's own terms</w:t>
            </w:r>
          </w:p>
        </w:tc>
      </w:tr>
      <w:tr>
        <w:tc>
          <w:tcPr>
            <w:tcW w:type="dxa" w:w="4500"/>
          </w:tcPr>
          <w:p>
            <w:r>
              <w:t xml:space="preserve">Late-delivery penalty</w:t>
            </w:r>
          </w:p>
        </w:tc>
        <w:tc>
          <w:tcPr>
            <w:tcW w:type="dxa" w:w="4500"/>
          </w:tcPr>
          <w:p>
            <w:r>
              <w:t xml:space="preserve">See Modeling Assumptions, MA2 — no public figure exists for this fictional charter's own terms</w:t>
            </w:r>
          </w:p>
        </w:tc>
      </w:tr>
    </w:tbl>
    <w:p/>
    <w:p>
      <w:pPr>
        <w:pStyle w:val="Heading2"/>
        <w:spacing w:after="120" w:before="240"/>
      </w:pPr>
      <w:r>
        <w:t xml:space="preserve">Appendix D: Barometric &amp; Storm-Surge Variability</w:t>
      </w:r>
    </w:p>
    <w:p>
      <w:r>
        <w:t xml:space="preserve">A nearby storm can move the water level away from its predicted tide curve in </w:t>
      </w:r>
      <w:r>
        <w:rPr>
          <w:b/>
          <w:bCs/>
        </w:rPr>
        <w:t xml:space="preserve">two different, opposite-signed ways</w:t>
      </w:r>
      <w:r>
        <w:t xml:space="preserve">, and getting the Dawn Transit's clearance right depends on telling them apart: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Inverse-barometer water-level effect</w:t>
            </w:r>
          </w:p>
        </w:tc>
        <w:tc>
          <w:tcPr>
            <w:tcW w:type="dxa" w:w="4500"/>
          </w:tcPr>
          <w:p>
            <w:r>
              <w:t xml:space="preserve">Low air pressure lets the sea surface </w:t>
            </w:r>
            <w:r>
              <w:rPr>
                <w:b/>
                <w:bCs/>
              </w:rPr>
              <w:t xml:space="preserve">rise</w:t>
            </w:r>
            <w:r>
              <w:t xml:space="preserve"> — roughly 1 cm of rise per 1 hPa (millibar) of pressure drop, ≈0.39 in per mb [S8]. This is the mechanism behind ordinary storm surge.</w:t>
            </w:r>
          </w:p>
        </w:tc>
      </w:tr>
      <w:tr>
        <w:tc>
          <w:tcPr>
            <w:tcW w:type="dxa" w:w="4500"/>
          </w:tcPr>
          <w:p>
            <w:r>
              <w:t xml:space="preserve">Wind-driven setdown</w:t>
            </w:r>
          </w:p>
        </w:tc>
        <w:tc>
          <w:tcPr>
            <w:tcW w:type="dxa" w:w="4500"/>
          </w:tcPr>
          <w:p>
            <w:r>
              <w:t xml:space="preserve">A </w:t>
            </w:r>
            <w:r>
              <w:rPr>
                <w:b/>
                <w:bCs/>
              </w:rPr>
              <w:t xml:space="preserve">separate, opposite-signed</w:t>
            </w:r>
            <w:r>
              <w:t xml:space="preserve"> effect: when a storm's wind blows </w:t>
            </w:r>
            <w:r>
              <w:rPr>
                <w:i/>
                <w:iCs/>
              </w:rPr>
              <w:t xml:space="preserve">away</w:t>
            </w:r>
            <w:r>
              <w:t xml:space="preserve"> from the coast, it physically pushes water offshore, </w:t>
            </w:r>
            <w:r>
              <w:rPr>
                <w:b/>
                <w:bCs/>
              </w:rPr>
              <w:t xml:space="preserve">lowering</w:t>
            </w:r>
            <w:r>
              <w:t xml:space="preserve"> the local water level below the predicted curve — "reverse storm surge." Real, documented, and not small: Tampa Bay's water level dropped roughly 4 ft below prediction from wind-driven setdown during Hurricane Ian (2022) [S10].</w:t>
            </w:r>
          </w:p>
        </w:tc>
      </w:tr>
      <w:tr>
        <w:tc>
          <w:tcPr>
            <w:tcW w:type="dxa" w:w="4500"/>
          </w:tcPr>
          <w:p>
            <w:r>
              <w:t xml:space="preserve">Local water-level effect modeled for a nearby-but-offshore system</w:t>
            </w:r>
          </w:p>
        </w:tc>
        <w:tc>
          <w:tcPr>
            <w:tcW w:type="dxa" w:w="4500"/>
          </w:tcPr>
          <w:p>
            <w:r>
              <w:t xml:space="preserve">See Modeling Assumptions, MA3. Kesterhaven's exposure on this specific night is modeled as a </w:t>
            </w:r>
            <w:r>
              <w:rPr>
                <w:b/>
                <w:bCs/>
              </w:rPr>
              <w:t xml:space="preserve">net setdown</w:t>
            </w:r>
            <w:r>
              <w:t xml:space="preserve"> (water-level reduction), consistent with an offshore, non-landfalling system whose wind pushes water away from the harbor rather than piling it in — the specific magnitude is not knowable in advance.</w:t>
            </w:r>
          </w:p>
        </w:tc>
      </w:tr>
    </w:tbl>
    <w:p/>
    <w:p>
      <w:pPr>
        <w:pStyle w:val="Heading2"/>
        <w:spacing w:after="120" w:before="240"/>
      </w:pPr>
      <w:r>
        <w:t xml:space="preserve">Appendix E: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G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Contracted delivery window</w:t>
            </w:r>
          </w:p>
        </w:tc>
        <w:tc>
          <w:tcPr>
            <w:tcW w:type="dxa" w:w="1800"/>
          </w:tcPr>
          <w:p>
            <w:r>
              <w:t xml:space="preserve">The Dawn Transit meets it; the Slack Tide misses it by enough to trigger MA2</w:t>
            </w:r>
          </w:p>
        </w:tc>
        <w:tc>
          <w:tcPr>
            <w:tcW w:type="dxa" w:w="1800"/>
          </w:tcPr>
          <w:p>
            <w:r>
              <w:t xml:space="preserve">No public source states a specific fictional charter's delivery window; the case needs only that the Slack Tide option misses it, not a specific hour count</w:t>
            </w:r>
          </w:p>
        </w:tc>
        <w:tc>
          <w:tcPr>
            <w:tcW w:type="dxa" w:w="1800"/>
          </w:tcPr>
          <w:p>
            <w:r>
              <w:t xml:space="preserve">Does not flip the dilemma on its own — the case's tension is clearance vs. penalty, not the exact window width</w:t>
            </w:r>
          </w:p>
        </w:tc>
      </w:tr>
      <w:tr>
        <w:tc>
          <w:tcPr>
            <w:tcW w:type="dxa" w:w="1800"/>
          </w:tcPr>
          <w:p>
            <w:r>
              <w:t xml:space="preserve">MA2</w:t>
            </w:r>
          </w:p>
        </w:tc>
        <w:tc>
          <w:tcPr>
            <w:tcW w:type="dxa" w:w="1800"/>
          </w:tcPr>
          <w:p>
            <w:r>
              <w:t xml:space="preserve">Late-delivery penalty</w:t>
            </w:r>
          </w:p>
        </w:tc>
        <w:tc>
          <w:tcPr>
            <w:tcW w:type="dxa" w:w="1800"/>
          </w:tcPr>
          <w:p>
            <w:r>
              <w:rPr>
                <w:b/>
                <w:bCs/>
              </w:rPr>
              <w:t xml:space="preserve">$18,000 flat penalty</w:t>
            </w:r>
            <w:r>
              <w:t xml:space="preserve"> — roughly one day of a real worked charter-party demurrage example ($20,000/day; real range for container demurrage generally runs $75–$300 per container per day)</w:t>
            </w:r>
          </w:p>
        </w:tc>
        <w:tc>
          <w:tcPr>
            <w:tcW w:type="dxa" w:w="1800"/>
          </w:tcPr>
          <w:p>
            <w:r>
              <w:t xml:space="preserve">This fictional charter's exact penalty clause cannot exist publicly; $18,000 is grounded in real industry figures, not invented from nothing</w:t>
            </w:r>
          </w:p>
        </w:tc>
        <w:tc>
          <w:tcPr>
            <w:tcW w:type="dxa" w:w="1800"/>
          </w:tcPr>
          <w:p>
            <w:r>
              <w:t xml:space="preserve">Directly load-bearing on Argument A — if set materially lower, Option B dominates outright; if materially higher, Option A does. </w:t>
            </w:r>
            <w:r>
              <w:rPr>
                <w:rFonts w:ascii="Courier New" w:cs="Courier New" w:eastAsia="Courier New" w:hAnsi="Courier New"/>
              </w:rPr>
              <w:t xml:space="preserve">case-qa</w:t>
            </w:r>
            <w:r>
              <w:t xml:space="preserve"> Tier 2 should flex this ±50% once a </w:t>
            </w:r>
            <w:r>
              <w:rPr>
                <w:rFonts w:ascii="Courier New" w:cs="Courier New" w:eastAsia="Courier New" w:hAnsi="Courier New"/>
              </w:rPr>
              <w:t xml:space="preserve">sensitivity_model.py</w:t>
            </w:r>
            <w:r>
              <w:t xml:space="preserve"> exists for this case.</w:t>
            </w:r>
          </w:p>
        </w:tc>
      </w:tr>
      <w:tr>
        <w:tc>
          <w:tcPr>
            <w:tcW w:type="dxa" w:w="1800"/>
          </w:tcPr>
          <w:p>
            <w:r>
              <w:t xml:space="preserve">MA3</w:t>
            </w:r>
          </w:p>
        </w:tc>
        <w:tc>
          <w:tcPr>
            <w:tcW w:type="dxa" w:w="1800"/>
          </w:tcPr>
          <w:p>
            <w:r>
              <w:t xml:space="preserve">Local water-level reduction modeled for the nearby storm</w:t>
            </w:r>
          </w:p>
        </w:tc>
        <w:tc>
          <w:tcPr>
            <w:tcW w:type="dxa" w:w="1800"/>
          </w:tcPr>
          <w:p>
            <w:r>
              <w:rPr>
                <w:b/>
                <w:bCs/>
              </w:rPr>
              <w:t xml:space="preserve">0.91 ft wind-driven setdown</w:t>
            </w:r>
            <w:r>
              <w:t xml:space="preserve"> — a genuine but non-extreme fraction of the real, documented magnitude such setdowns reach (Tampa Bay measured ~4 ft during Hurricane Ian [S10]), modeled for an offshore, non-landfalling system with pressure at or just above the real Category-1-hurricane threshold (&gt;980 mb, vs. a ~1013 mb fair-weather baseline [S9]) whose wind pushes water away from Kesterhaven rather than piling it in — </w:t>
            </w:r>
            <w:r>
              <w:rPr>
                <w:b/>
                <w:bCs/>
              </w:rPr>
              <w:t xml:space="preserve">CORRECTED 2026-08-12</w:t>
            </w:r>
            <w:r>
              <w:t xml:space="preserve">: earlier drafts of this case misattributed this reduction to the inverse-barometer rate in Appendix D (S8), which is a real relationship but produces a </w:t>
            </w:r>
            <w:r>
              <w:rPr>
                <w:b/>
                <w:bCs/>
              </w:rPr>
              <w:t xml:space="preserve">rise</w:t>
            </w:r>
            <w:r>
              <w:t xml:space="preserve">, not a reduction, and cannot honestly justify this row's sign. The mechanism is wind-driven setdown (S10), a separate, real, opposite-signed effect — see RESEARCH_LOG.md.</w:t>
            </w:r>
          </w:p>
        </w:tc>
        <w:tc>
          <w:tcPr>
            <w:tcW w:type="dxa" w:w="1800"/>
          </w:tcPr>
          <w:p>
            <w:r>
              <w:t xml:space="preserve">Chosen well within the real documented range for this phenomenon, not picked to force an outcome — see RESEARCH_LOG.md for the correction and the full arithmetic</w:t>
            </w:r>
          </w:p>
        </w:tc>
        <w:tc>
          <w:tcPr>
            <w:tcW w:type="dxa" w:w="1800"/>
          </w:tcPr>
          <w:p>
            <w:r>
              <w:t xml:space="preserve">This reduction directly narrows the Dawn Transit's clearance margin over the Pilots' Association's policy floor — work out D3/D4's own comparison to see by how much, and whether it changes the recommendation.</w:t>
            </w:r>
          </w:p>
        </w:tc>
      </w:tr>
      <w:tr>
        <w:tc>
          <w:tcPr>
            <w:tcW w:type="dxa" w:w="1800"/>
          </w:tcPr>
          <w:p>
            <w:r>
              <w:t xml:space="preserve">MA4</w:t>
            </w:r>
          </w:p>
        </w:tc>
        <w:tc>
          <w:tcPr>
            <w:tcW w:type="dxa" w:w="1800"/>
          </w:tcPr>
          <w:p>
            <w:r>
              <w:t xml:space="preserve">Governing depth for the Dawn Transit's clearance calculation</w:t>
            </w:r>
          </w:p>
        </w:tc>
        <w:tc>
          <w:tcPr>
            <w:tcW w:type="dxa" w:w="1800"/>
          </w:tcPr>
          <w:p>
            <w:r>
              <w:rPr>
                <w:b/>
                <w:bCs/>
              </w:rPr>
              <w:t xml:space="preserve">54 ft (the entrance-channel depth)</w:t>
            </w:r>
          </w:p>
        </w:tc>
        <w:tc>
          <w:tcPr>
            <w:tcW w:type="dxa" w:w="1800"/>
          </w:tcPr>
          <w:p>
            <w:r>
              <w:t xml:space="preserve">Appendix B cites two real, both-sourced, dated depths for this harbor — 54 ft (entrance channel) and 52 ft (inner harbor) [S6] — without which one applies to this fictional vessel's specific route, which is not a matter of public record for a fictional charter. This case models the Dawn Transit's controlling clearance moment as occurring at the harbor entrance itself (the transit's final and most exposed segment on the way to open water), which is where the real NOAA tide station this case's Appendix A predictions are drawn from is sited. </w:t>
            </w:r>
            <w:r>
              <w:rPr>
                <w:b/>
                <w:bCs/>
              </w:rPr>
              <w:t xml:space="preserve">CORRECTED 2026-08-12</w:t>
            </w:r>
            <w:r>
              <w:t xml:space="preserve">: earlier drafts used 54 ft without stating this as a choice — a Hero reading Appendix B literally could equally defensibly apply the shallower 52 ft figure instead.</w:t>
            </w:r>
          </w:p>
        </w:tc>
        <w:tc>
          <w:tcPr>
            <w:tcW w:type="dxa" w:w="1800"/>
          </w:tcPr>
          <w:p>
            <w:r>
              <w:t xml:space="preserve">This is the single largest lever in the whole case. A Hero who challenges this convention and argues for the shallower 52 ft reading has a legitimate, defensible point worth exploring in discussion.</w:t>
            </w:r>
          </w:p>
        </w:tc>
      </w:tr>
    </w:tbl>
    <w:p/>
    <w:p>
      <w:pPr>
        <w:pStyle w:val="Heading2"/>
        <w:spacing w:after="120" w:before="240"/>
      </w:pPr>
      <w:r>
        <w:t xml:space="preserve">Appendix F: Learn More</w:t>
      </w:r>
    </w:p>
    <w:p>
      <w:r>
        <w:t xml:space="preserve">Optional further reading for the curious — not required to complete the Challenges or resolve the Dilemma.</w:t>
      </w:r>
    </w:p>
    <w:p>
      <w:pPr>
        <w:ind w:left="360"/>
      </w:pPr>
      <w:r>
        <w:t xml:space="preserve">- </w:t>
      </w:r>
      <w:hyperlink w:history="1" r:id="rIdmmvtnqocofqi3ehuefbr2">
        <w:r>
          <w:rPr>
            <w:rStyle w:val="Hyperlink"/>
          </w:rPr>
          <w:t xml:space="preserve">The American Pilots' Association</w:t>
        </w:r>
      </w:hyperlink>
      <w:r>
        <w:t xml:space="preserve"> — the real national association representing U.S. marine/harbor pilots, with background on what pilotage is and why ports require it.</w:t>
      </w:r>
    </w:p>
    <w:p>
      <w:pPr>
        <w:ind w:left="360"/>
      </w:pPr>
      <w:r>
        <w:t xml:space="preserve">- </w:t>
      </w:r>
      <w:hyperlink w:history="1" r:id="rIdscxlycwsj5sxq_b2_agu6">
        <w:r>
          <w:rPr>
            <w:rStyle w:val="Hyperlink"/>
          </w:rPr>
          <w:t xml:space="preserve">NOAA: Tides and Water Levels tutorial</w:t>
        </w:r>
      </w:hyperlink>
      <w:r>
        <w:t xml:space="preserve"> — NOAA's own educational tutorial on what causes tides and how they are monitored and predicted.</w:t>
      </w:r>
    </w:p>
    <w:p>
      <w:pPr>
        <w:ind w:left="360"/>
      </w:pPr>
      <w:r>
        <w:t xml:space="preserve">- </w:t>
      </w:r>
      <w:hyperlink w:history="1" r:id="rIdq6egfvi--s-7eywrw3cso">
        <w:r>
          <w:rPr>
            <w:rStyle w:val="Hyperlink"/>
          </w:rPr>
          <w:t xml:space="preserve">NOAA: What is storm surge?</w:t>
        </w:r>
      </w:hyperlink>
      <w:r>
        <w:t xml:space="preserve"> — NOAA's explainer distinguishing storm surge from storm tide, the real phenomenon behind Appendix D.</w:t>
      </w:r>
    </w:p>
    <w:p>
      <w:pPr>
        <w:ind w:left="360"/>
      </w:pPr>
      <w:r>
        <w:t xml:space="preserve">- </w:t>
      </w:r>
      <w:hyperlink w:history="1" r:id="rId41otrfywa8pjoe9y08tna">
        <w:r>
          <w:rPr>
            <w:rStyle w:val="Hyperlink"/>
          </w:rPr>
          <w:t xml:space="preserve">Math Is Fun: The Unit Circle</w:t>
        </w:r>
      </w:hyperlink>
      <w:r>
        <w:t xml:space="preserve"> — a clear walkthrough of the unit circle and how it defines sine, cosine, and tangent, useful background for Challenge 3's D1.</w:t>
      </w:r>
    </w:p>
    <w:p>
      <w:r>
        <w:rPr>
          <w:i/>
          <w:iCs/>
        </w:rPr>
        <w:t xml:space="preserve">Links verified live 2026-08-18.</w:t>
      </w:r>
    </w:p>
    <w:p>
      <w:pPr>
        <w:pStyle w:val="Heading2"/>
        <w:spacing w:after="120" w:before="240"/>
      </w:pPr>
      <w:r>
        <w:t xml:space="preserve">Appendix G: "How To…" Math Questions To Research</w:t>
      </w:r>
    </w:p>
    <w:p>
      <w:r>
        <w:rPr>
          <w:b/>
          <w:bCs/>
        </w:rPr>
        <w:t xml:space="preserve">Vocabulary terms</w:t>
      </w:r>
    </w:p>
    <w:p>
      <w:pPr>
        <w:ind w:left="360"/>
      </w:pPr>
      <w:r>
        <w:t xml:space="preserve">- Radian</w:t>
      </w:r>
    </w:p>
    <w:p>
      <w:pPr>
        <w:ind w:left="360"/>
      </w:pPr>
      <w:r>
        <w:t xml:space="preserve">- Unit Circle</w:t>
      </w:r>
    </w:p>
    <w:p>
      <w:pPr>
        <w:ind w:left="360"/>
      </w:pPr>
      <w:r>
        <w:t xml:space="preserve">- Sine Function</w:t>
      </w:r>
    </w:p>
    <w:p>
      <w:pPr>
        <w:ind w:left="360"/>
      </w:pPr>
      <w:r>
        <w:t xml:space="preserve">- Cosine Function</w:t>
      </w:r>
    </w:p>
    <w:p>
      <w:pPr>
        <w:ind w:left="360"/>
      </w:pPr>
      <w:r>
        <w:t xml:space="preserve">- Tangent Function</w:t>
      </w:r>
    </w:p>
    <w:p>
      <w:pPr>
        <w:ind w:left="360"/>
      </w:pPr>
      <w:r>
        <w:t xml:space="preserve">- Amplitude</w:t>
      </w:r>
    </w:p>
    <w:p>
      <w:pPr>
        <w:ind w:left="360"/>
      </w:pPr>
      <w:r>
        <w:t xml:space="preserve">- Period (Of A Function)</w:t>
      </w:r>
    </w:p>
    <w:p>
      <w:pPr>
        <w:ind w:left="360"/>
      </w:pPr>
      <w:r>
        <w:t xml:space="preserve">- Reference Angle</w:t>
      </w:r>
    </w:p>
    <w:p>
      <w:r>
        <w:rPr>
          <w:b/>
          <w:bCs/>
        </w:rPr>
        <w:t xml:space="preserve">"How to…" questions</w:t>
      </w:r>
    </w:p>
    <w:p>
      <w:pPr>
        <w:ind w:left="360"/>
      </w:pPr>
      <w:r>
        <w:t xml:space="preserve">- How to convert between degrees and radians</w:t>
      </w:r>
    </w:p>
    <w:p>
      <w:pPr>
        <w:ind w:left="360"/>
      </w:pPr>
      <w:r>
        <w:t xml:space="preserve">- How to find the sine, cosine, and tangent of an angle using the unit circle</w:t>
      </w:r>
    </w:p>
    <w:p>
      <w:pPr>
        <w:ind w:left="360"/>
      </w:pPr>
      <w:r>
        <w:t xml:space="preserve">- How to find the amplitude and period of a sine or cosine function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mvtnqocofqi3ehuefbr2" Type="http://schemas.openxmlformats.org/officeDocument/2006/relationships/hyperlink" Target="https://www.americanpilots.org" TargetMode="External"/><Relationship Id="rIdscxlycwsj5sxq_b2_agu6" Type="http://schemas.openxmlformats.org/officeDocument/2006/relationships/hyperlink" Target="https://oceanservice.noaa.gov/education/tutorial_tides/welcome.html" TargetMode="External"/><Relationship Id="rIdq6egfvi--s-7eywrw3cso" Type="http://schemas.openxmlformats.org/officeDocument/2006/relationships/hyperlink" Target="https://oceanservice.noaa.gov/facts/stormsurge-stormtide.html" TargetMode="External"/><Relationship Id="rId41otrfywa8pjoe9y08tna" Type="http://schemas.openxmlformats.org/officeDocument/2006/relationships/hyperlink" Target="https://www.mathsisfun.com/geometry/unit-circle.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2026-08-18T07:43:11.280Z</dcterms:created>
  <dcterms:modified xsi:type="dcterms:W3CDTF">2026-08-18T07:43:11.281Z</dcterms:modified>
</cp:coreProperties>
</file>

<file path=docProps/custom.xml><?xml version="1.0" encoding="utf-8"?>
<Properties xmlns="http://schemas.openxmlformats.org/officeDocument/2006/custom-properties" xmlns:vt="http://schemas.openxmlformats.org/officeDocument/2006/docPropsVTypes"/>
</file>