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Total Flow</w:t>
      </w:r>
    </w:p>
    <w:p>
      <w:pPr>
        <w:spacing w:after="240"/>
        <w:jc w:val="center"/>
      </w:pPr>
      <w:r>
        <w:rPr>
          <w:i/>
          <w:iCs/>
          <w:sz w:val="22"/>
          <w:szCs w:val="22"/>
        </w:rPr>
        <w:t xml:space="preserve">MS | Math | Case Study | 2026 | Launchpad</w:t>
      </w:r>
    </w:p>
    <w:p>
      <w:pPr>
        <w:pStyle w:val="Heading2"/>
        <w:spacing w:after="120" w:before="240"/>
      </w:pPr>
      <w:r>
        <w:t xml:space="preserve">Overview</w:t>
      </w:r>
    </w:p>
    <w:p>
      <w:r>
        <w:t xml:space="preserve">The wind coming off the river keeps trying to turn the pages, so Nadia Brennan holds the binder flat with her forearm and reads the same column again.</w:t>
      </w:r>
    </w:p>
    <w:p>
      <w:r>
        <w:t xml:space="preserve">She is standing on the levee crown at the reach the district board has taken to calling the soft spot, boots in wet crown gravel, watching a fisherman's truck idle on the access road below. Behind her the town's water tower is close enough to read. In front of her the channel is running low and brown and completely harmless-looking, which is the part she has never been able to get the board to feel.</w:t>
      </w:r>
    </w:p>
    <w:p>
      <w:r>
        <w:t xml:space="preserve">Nadia is the district's engineer of record. When the design certification goes out, her seal is the one on it — not the board's, not the contractor's — and that certification says this levee will hold what the river sends. She has one construction season and one appropriation, and she has spent the better part of a month learning that the river does not send the same thing twice.</w:t>
      </w:r>
    </w:p>
    <w:p>
      <w:r>
        <w:t xml:space="preserve">Two binders, flat on the tailgate. One holds a storm that arrived like a slammed door, up and over and gone before the district's own crews had finished sandbagging the boat ramp. The other holds a storm that never looked frightening on any single morning and simply refused to leave.</w:t>
      </w:r>
    </w:p>
    <w:p>
      <w:r>
        <w:t xml:space="preserve">Her phone buzzes against the truck bed. The board chair. The bid package goes out at the end of the week, and it can describe exactly one design.</w:t>
      </w:r>
    </w:p>
    <w:p>
      <w:r>
        <w:t xml:space="preserve">Nadia looks at the channel, then at the binders, then at the channel again.</w:t>
      </w:r>
    </w:p>
    <w:p>
      <w:pPr>
        <w:pStyle w:val="Heading2"/>
        <w:spacing w:after="120" w:before="240"/>
      </w:pPr>
      <w:r>
        <w:t xml:space="preserve">Background</w:t>
      </w:r>
    </w:p>
    <w:p>
      <w:r>
        <w:t xml:space="preserve">Nadia Brennan is the district engineer for the Marrow Bend Levee District, a small special-purpose district responsible for a single leveed reach on Henderson Creek in western Illinois. The board controls the appropriation; the design certification carries Nadia's professional seal, and she is personally accountable for the standard she certifies to.</w:t>
      </w:r>
    </w:p>
    <w:p>
      <w:r>
        <w:t xml:space="preserve">Henderson Creek is gaged continuously by the U.S. Geological Survey, which publishes a daily mean discharge — the average rate of flow past the gage, in cubic feet per second — for every day of record (SEE APPENDIX A). Two real floods from that record are the district's design storms this season: </w:t>
      </w:r>
      <w:r>
        <w:rPr>
          <w:b/>
          <w:bCs/>
        </w:rPr>
        <w:t xml:space="preserve">The Slammed Door</w:t>
      </w:r>
      <w:r>
        <w:t xml:space="preserve">, a short, violent event, and </w:t>
      </w:r>
      <w:r>
        <w:rPr>
          <w:b/>
          <w:bCs/>
        </w:rPr>
        <w:t xml:space="preserve">The Long Guest</w:t>
      </w:r>
      <w:r>
        <w:t xml:space="preserve">, a flood that ran for days (SEE APPENDIX A).</w:t>
      </w:r>
    </w:p>
    <w:p>
      <w:r>
        <w:t xml:space="preserve">Below a certain discharge — the reach's </w:t>
      </w:r>
      <w:r>
        <w:rPr>
          <w:b/>
          <w:bCs/>
        </w:rPr>
        <w:t xml:space="preserve">channel capacity</w:t>
      </w:r>
      <w:r>
        <w:t xml:space="preserve"> — the channel carries the creek without loading the levee at all. Above that rate, every additional cubic foot per second is water the district's works have to handle (SEE APPENDIX B). That water, and only that water, is what this case calls </w:t>
      </w:r>
      <w:r>
        <w:rPr>
          <w:b/>
          <w:bCs/>
        </w:rPr>
        <w:t xml:space="preserve">floodwater</w:t>
      </w:r>
      <w:r>
        <w:t xml:space="preserve">: the volume above channel capacity. Flow at or below channel capacity is not floodwater, and it never enters the board's number for either bid. Appendix B also carries the gage's published flood-frequency record, which the district's engineering standards require the certification to reference.</w:t>
      </w:r>
    </w:p>
    <w:p>
      <w:r>
        <w:t xml:space="preserve">A design </w:t>
      </w:r>
      <w:r>
        <w:rPr>
          <w:b/>
          <w:bCs/>
        </w:rPr>
        <w:t xml:space="preserve">safely manages</w:t>
      </w:r>
      <w:r>
        <w:t xml:space="preserve"> floodwater when that water is either carried inside the channel the design provides or held in the storage the design provides. Floodwater that is neither is a </w:t>
      </w:r>
      <w:r>
        <w:rPr>
          <w:b/>
          <w:bCs/>
        </w:rPr>
        <w:t xml:space="preserve">shortfall</w:t>
      </w:r>
      <w:r>
        <w:t xml:space="preserve">. Two bids are on the table and the appropriation pays for exactly one (SEE APPENDIX C).</w:t>
      </w:r>
    </w:p>
    <w:p>
      <w:r>
        <w:rPr>
          <w:b/>
          <w:bCs/>
        </w:rPr>
        <w:t xml:space="preserve">The Crest Standard</w:t>
      </w:r>
      <w:r>
        <w:t xml:space="preserve"> raises and armors the levee crown so the channel itself carries a higher discharge. It handles any flow at or below its design discharge for as long as the storm lasts — duration is free — and everything above that design discharge is a shortfall, no matter how briefly it lasts.</w:t>
      </w:r>
    </w:p>
    <w:p>
      <w:r>
        <w:rPr>
          <w:b/>
          <w:bCs/>
        </w:rPr>
        <w:t xml:space="preserve">The Basin Standard</w:t>
      </w:r>
      <w:r>
        <w:t xml:space="preserve"> leaves the crown where it was built and buys two upstream floodwater detention structures. They absorb flow above channel capacity at any rate at all — peak is free — but only until their storage is full; everything after that is a shortfall.</w:t>
      </w:r>
    </w:p>
    <w:p>
      <w:r>
        <w:t xml:space="preserve">The board scores the two bids on one number, stated in the bid package: </w:t>
      </w:r>
      <w:r>
        <w:rPr>
          <w:b/>
          <w:bCs/>
        </w:rPr>
        <w:t xml:space="preserve">acre-feet of floodwater safely managed per one thousand dollars of appropriation, totalled across both design storms</w:t>
      </w:r>
      <w:r>
        <w:t xml:space="preserve"> (SEE APPENDICES C AND D). Appendix D also carries the conversion the district's reports use to turn a discharge rate into a volume, and the appropriation the board has voted.</w:t>
      </w:r>
    </w:p>
    <w:p>
      <w:r>
        <w:t xml:space="preserve">Nadia may not change either bid's scope and may not change the river. Where a figure below is not a matter of public record it is stated as an explicit modeling assumption (SEE APPENDIX F) rather than guessed, and every sourced figure is listed in APPENDIX E. The vocabulary and the "how to…" skills this case will ask of you are listed in APPENDIX H — that is where Challenge 1 sends you. Curious what any of this looks like in the field, beyond the math? SEE APPENDIX G for further reading.</w:t>
      </w:r>
    </w:p>
    <w:p>
      <w:pPr>
        <w:pStyle w:val="Heading2"/>
        <w:spacing w:after="120" w:before="240"/>
      </w:pPr>
      <w:r>
        <w:t xml:space="preserve">Dilemma</w:t>
      </w:r>
    </w:p>
    <w:p>
      <w:r>
        <w:t xml:space="preserve">You are Nadia Brennan. Do you: A.) Certify The Crest Standard — raise and armor the levee crown so the channel carries a higher discharge, for however long the storm lasts OR B.) Certify The Basin Standard — leave the crown as built and buy upstream detention storage that absorbs flow above channel capacity until it fills</w:t>
      </w:r>
    </w:p>
    <w:p>
      <w:pPr>
        <w:pStyle w:val="Heading2"/>
        <w:spacing w:after="120" w:before="240"/>
      </w:pPr>
      <w:r>
        <w:t xml:space="preserve">Challenges</w:t>
      </w:r>
    </w:p>
    <w:p>
      <w:r>
        <w:t xml:space="preserve">1.) Research and find an online resource that answers one of the "how to…" questions from the case study launch. Post a link to the resource as your submission.</w:t>
      </w:r>
    </w:p>
    <w:p>
      <w:r>
        <w:t xml:space="preserve">2.) Post 250 or more "excellent" words pitching a firm stance to your audience on which you would choose and why. Your pitch must include:     a.) Use of the "how to…" resource you researched in Challenge 1.     b.) At least one original visual display of the data.</w:t>
      </w:r>
    </w:p>
    <w:p>
      <w:r>
        <w:t xml:space="preserve">3.) Your pitch must include:     D1. A Riemann sum for the total water volume that passed the gage during each design storm     in APPENDIX A: state the interval width you used and where inside each day you placed that     day's value (APPENDIX D says how to read the table as a function of time), show the sum,     convert the result to acre-feet using the factor in APPENDIX D, and say in one sentence     whether your sum over-estimates, under-estimates, or exactly reproduces the volume in the     published record — and how you know which of the three it is.     D2. For each design storm, a fitted discharge function Q(t) over the storm window, its     indefinite integral written as a general antiderivative with the constant of integration     shown, and the definite integral of Q(t) across the storm window evaluated by the     Fundamental Theorem of Calculus — with that result compared, in acre-feet, against your D1     Riemann sum for the same storm.     D3. For each design storm, a shaded diagram and a computation of the area between your     Q(t) curve and the horizontal channel-capacity line from APPENDIX B, over the interval where     the storm exceeds capacity. State the limits of integration and show how you found them.     This is the floodwater the district's works have to handle. Then state the same floodwater     volume read straight off APPENDIX A's daily values, and account for the difference between     the two figures.     D4. A "floodwater safely managed" table for The Crest Standard and The Basin Standard across     both design storms, in acre-feet and built from APPENDIX A's daily values, with each option's     shortfall shown separately — then a final acre-feet-of-floodwater-safely-managed per one     thousand dollars of appropriation figure for each option against APPENDIX C's bid prices, and     your recommendation.</w:t>
      </w:r>
    </w:p>
    <w:p>
      <w:r>
        <w:t xml:space="preserve">4.) An appendix showing evidence of your original thinking, work, calculations and processes you used to complete the challenges (pictures, screenshots, notes, etc.). Your work in the appendix does not count toward your word count.</w:t>
      </w:r>
    </w:p>
    <w:p>
      <w:r>
        <w:t xml:space="preserve">5.) Participate twice or more in the Case Study discussion. *If you are absent the day of a discussion post 500 "excellent" words on the questions above.</w:t>
      </w:r>
    </w:p>
    <w:p>
      <w:pPr>
        <w:pStyle w:val="Heading2"/>
        <w:spacing w:after="120" w:before="240"/>
      </w:pPr>
      <w:r>
        <w:t xml:space="preserve">Appendix A — The Gage and the Two Design Storms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
            </w:r>
          </w:p>
        </w:tc>
        <w:tc>
          <w:tcPr>
            <w:tcW w:type="dxa" w:w="4500"/>
            <w:shd w:fill="DDDDDD" w:val="clear"/>
          </w:tcPr>
          <w:p>
            <w:r>
              <w:t xml:space="preserve">Value</w:t>
            </w:r>
          </w:p>
        </w:tc>
      </w:tr>
      <w:tr>
        <w:tc>
          <w:tcPr>
            <w:tcW w:type="dxa" w:w="4500"/>
          </w:tcPr>
          <w:p>
            <w:r>
              <w:t xml:space="preserve">Gage name and USGS site number</w:t>
            </w:r>
          </w:p>
        </w:tc>
        <w:tc>
          <w:tcPr>
            <w:tcW w:type="dxa" w:w="4500"/>
          </w:tcPr>
          <w:p>
            <w:r>
              <w:t xml:space="preserve">Henderson Creek near Oquawka, Illinois — USGS 05469000 [S1]</w:t>
            </w:r>
          </w:p>
        </w:tc>
      </w:tr>
      <w:tr>
        <w:tc>
          <w:tcPr>
            <w:tcW w:type="dxa" w:w="4500"/>
          </w:tcPr>
          <w:p>
            <w:r>
              <w:t xml:space="preserve">Location</w:t>
            </w:r>
          </w:p>
        </w:tc>
        <w:tc>
          <w:tcPr>
            <w:tcW w:type="dxa" w:w="4500"/>
          </w:tcPr>
          <w:p>
            <w:r>
              <w:t xml:space="preserve">Henderson County, IL · 41.001425° N, 90.854308° W [S1]</w:t>
            </w:r>
          </w:p>
        </w:tc>
      </w:tr>
      <w:tr>
        <w:tc>
          <w:tcPr>
            <w:tcW w:type="dxa" w:w="4500"/>
          </w:tcPr>
          <w:p>
            <w:r>
              <w:t xml:space="preserve">Drainage area above the gage</w:t>
            </w:r>
          </w:p>
        </w:tc>
        <w:tc>
          <w:tcPr>
            <w:tcW w:type="dxa" w:w="4500"/>
          </w:tcPr>
          <w:p>
            <w:r>
              <w:t xml:space="preserve">432 square miles [S1]</w:t>
            </w:r>
          </w:p>
        </w:tc>
      </w:tr>
      <w:tr>
        <w:tc>
          <w:tcPr>
            <w:tcW w:type="dxa" w:w="4500"/>
          </w:tcPr>
          <w:p>
            <w:r>
              <w:t xml:space="preserve">Gage altitude</w:t>
            </w:r>
          </w:p>
        </w:tc>
        <w:tc>
          <w:tcPr>
            <w:tcW w:type="dxa" w:w="4500"/>
          </w:tcPr>
          <w:p>
            <w:r>
              <w:t xml:space="preserve">540.64 ft above NAVD88 [S1]</w:t>
            </w:r>
          </w:p>
        </w:tc>
      </w:tr>
      <w:tr>
        <w:tc>
          <w:tcPr>
            <w:tcW w:type="dxa" w:w="4500"/>
          </w:tcPr>
          <w:p>
            <w:r>
              <w:t xml:space="preserve">Regulation</w:t>
            </w:r>
          </w:p>
        </w:tc>
        <w:tc>
          <w:tcPr>
            <w:tcW w:type="dxa" w:w="4500"/>
          </w:tcPr>
          <w:p>
            <w:r>
              <w:t xml:space="preserve">Unregulated — no upstream reservoir controls the flow past this gage [S6]</w:t>
            </w:r>
          </w:p>
        </w:tc>
      </w:tr>
    </w:tbl>
    <w:p/>
    <w:p>
      <w:r>
        <w:t xml:space="preserve">Both tables below are </w:t>
      </w:r>
      <w:r>
        <w:rPr>
          <w:b/>
          <w:bCs/>
        </w:rPr>
        <w:t xml:space="preserve">daily mean discharge</w:t>
      </w:r>
      <w:r>
        <w:t xml:space="preserve"> in cubic feet per second, exactly as USGS publishes them. Every value carries the USGS qualification code </w:t>
      </w:r>
      <w:r>
        <w:rPr>
          <w:rFonts w:ascii="Courier New" w:cs="Courier New" w:eastAsia="Courier New" w:hAnsi="Courier New"/>
        </w:rPr>
        <w:t xml:space="preserve">A</w:t>
      </w:r>
      <w:r>
        <w:t xml:space="preserve"> — approved for publication, review complete [S2, S3].</w:t>
      </w:r>
    </w:p>
    <w:p>
      <w:r>
        <w:rPr>
          <w:b/>
          <w:bCs/>
        </w:rPr>
        <w:t xml:space="preserve">Design Storm 1 — The Slammed Door</w:t>
      </w:r>
      <w:r>
        <w:t xml:space="preserve"> (February 2019)</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Date</w:t>
            </w:r>
          </w:p>
        </w:tc>
        <w:tc>
          <w:tcPr>
            <w:tcW w:type="dxa" w:w="4500"/>
            <w:shd w:fill="DDDDDD" w:val="clear"/>
          </w:tcPr>
          <w:p>
            <w:r>
              <w:t xml:space="preserve">Daily mean discharge (cfs)</w:t>
            </w:r>
          </w:p>
        </w:tc>
      </w:tr>
      <w:tr>
        <w:tc>
          <w:tcPr>
            <w:tcW w:type="dxa" w:w="4500"/>
          </w:tcPr>
          <w:p>
            <w:r>
              <w:t xml:space="preserve">2019-02-22</w:t>
            </w:r>
          </w:p>
        </w:tc>
        <w:tc>
          <w:tcPr>
            <w:tcW w:type="dxa" w:w="4500"/>
          </w:tcPr>
          <w:p>
            <w:r>
              <w:t xml:space="preserve">413</w:t>
            </w:r>
          </w:p>
        </w:tc>
      </w:tr>
      <w:tr>
        <w:tc>
          <w:tcPr>
            <w:tcW w:type="dxa" w:w="4500"/>
          </w:tcPr>
          <w:p>
            <w:r>
              <w:t xml:space="preserve">2019-02-23</w:t>
            </w:r>
          </w:p>
        </w:tc>
        <w:tc>
          <w:tcPr>
            <w:tcW w:type="dxa" w:w="4500"/>
          </w:tcPr>
          <w:p>
            <w:r>
              <w:t xml:space="preserve">3,290</w:t>
            </w:r>
          </w:p>
        </w:tc>
      </w:tr>
      <w:tr>
        <w:tc>
          <w:tcPr>
            <w:tcW w:type="dxa" w:w="4500"/>
          </w:tcPr>
          <w:p>
            <w:r>
              <w:t xml:space="preserve">2019-02-24</w:t>
            </w:r>
          </w:p>
        </w:tc>
        <w:tc>
          <w:tcPr>
            <w:tcW w:type="dxa" w:w="4500"/>
          </w:tcPr>
          <w:p>
            <w:r>
              <w:t xml:space="preserve">8,060</w:t>
            </w:r>
          </w:p>
        </w:tc>
      </w:tr>
      <w:tr>
        <w:tc>
          <w:tcPr>
            <w:tcW w:type="dxa" w:w="4500"/>
          </w:tcPr>
          <w:p>
            <w:r>
              <w:t xml:space="preserve">2019-02-25</w:t>
            </w:r>
          </w:p>
        </w:tc>
        <w:tc>
          <w:tcPr>
            <w:tcW w:type="dxa" w:w="4500"/>
          </w:tcPr>
          <w:p>
            <w:r>
              <w:t xml:space="preserve">4,220</w:t>
            </w:r>
          </w:p>
        </w:tc>
      </w:tr>
      <w:tr>
        <w:tc>
          <w:tcPr>
            <w:tcW w:type="dxa" w:w="4500"/>
          </w:tcPr>
          <w:p>
            <w:r>
              <w:t xml:space="preserve">2019-02-26</w:t>
            </w:r>
          </w:p>
        </w:tc>
        <w:tc>
          <w:tcPr>
            <w:tcW w:type="dxa" w:w="4500"/>
          </w:tcPr>
          <w:p>
            <w:r>
              <w:t xml:space="preserve">1,130</w:t>
            </w:r>
          </w:p>
        </w:tc>
      </w:tr>
      <w:tr>
        <w:tc>
          <w:tcPr>
            <w:tcW w:type="dxa" w:w="4500"/>
          </w:tcPr>
          <w:p>
            <w:r>
              <w:t xml:space="preserve">2019-02-27</w:t>
            </w:r>
          </w:p>
        </w:tc>
        <w:tc>
          <w:tcPr>
            <w:tcW w:type="dxa" w:w="4500"/>
          </w:tcPr>
          <w:p>
            <w:r>
              <w:t xml:space="preserve">690</w:t>
            </w:r>
          </w:p>
        </w:tc>
      </w:tr>
      <w:tr>
        <w:tc>
          <w:tcPr>
            <w:tcW w:type="dxa" w:w="4500"/>
          </w:tcPr>
          <w:p>
            <w:r>
              <w:t xml:space="preserve">2019-02-28</w:t>
            </w:r>
          </w:p>
        </w:tc>
        <w:tc>
          <w:tcPr>
            <w:tcW w:type="dxa" w:w="4500"/>
          </w:tcPr>
          <w:p>
            <w:r>
              <w:t xml:space="preserve">490</w:t>
            </w:r>
          </w:p>
        </w:tc>
      </w:tr>
      <w:tr>
        <w:tc>
          <w:tcPr>
            <w:tcW w:type="dxa" w:w="4500"/>
          </w:tcPr>
          <w:p>
            <w:r>
              <w:t xml:space="preserve">2019-03-01</w:t>
            </w:r>
          </w:p>
        </w:tc>
        <w:tc>
          <w:tcPr>
            <w:tcW w:type="dxa" w:w="4500"/>
          </w:tcPr>
          <w:p>
            <w:r>
              <w:t xml:space="preserve">474</w:t>
            </w:r>
          </w:p>
        </w:tc>
      </w:tr>
    </w:tbl>
    <w:p/>
    <w:p>
      <w:r>
        <w:rPr>
          <w:i/>
          <w:iCs/>
        </w:rPr>
        <w:t xml:space="preserve">(Source: [S2])</w:t>
      </w:r>
    </w:p>
    <w:p>
      <w:r>
        <w:rPr>
          <w:b/>
          <w:bCs/>
        </w:rPr>
        <w:t xml:space="preserve">Design Storm 2 — The Long Guest</w:t>
      </w:r>
      <w:r>
        <w:t xml:space="preserve"> (April–May 2019)</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Date</w:t>
            </w:r>
          </w:p>
        </w:tc>
        <w:tc>
          <w:tcPr>
            <w:tcW w:type="dxa" w:w="4500"/>
            <w:shd w:fill="DDDDDD" w:val="clear"/>
          </w:tcPr>
          <w:p>
            <w:r>
              <w:t xml:space="preserve">Daily mean discharge (cfs)</w:t>
            </w:r>
          </w:p>
        </w:tc>
      </w:tr>
      <w:tr>
        <w:tc>
          <w:tcPr>
            <w:tcW w:type="dxa" w:w="4500"/>
          </w:tcPr>
          <w:p>
            <w:r>
              <w:t xml:space="preserve">2019-04-28</w:t>
            </w:r>
          </w:p>
        </w:tc>
        <w:tc>
          <w:tcPr>
            <w:tcW w:type="dxa" w:w="4500"/>
          </w:tcPr>
          <w:p>
            <w:r>
              <w:t xml:space="preserve">225</w:t>
            </w:r>
          </w:p>
        </w:tc>
      </w:tr>
      <w:tr>
        <w:tc>
          <w:tcPr>
            <w:tcW w:type="dxa" w:w="4500"/>
          </w:tcPr>
          <w:p>
            <w:r>
              <w:t xml:space="preserve">2019-04-29</w:t>
            </w:r>
          </w:p>
        </w:tc>
        <w:tc>
          <w:tcPr>
            <w:tcW w:type="dxa" w:w="4500"/>
          </w:tcPr>
          <w:p>
            <w:r>
              <w:t xml:space="preserve">932</w:t>
            </w:r>
          </w:p>
        </w:tc>
      </w:tr>
      <w:tr>
        <w:tc>
          <w:tcPr>
            <w:tcW w:type="dxa" w:w="4500"/>
          </w:tcPr>
          <w:p>
            <w:r>
              <w:t xml:space="preserve">2019-04-30</w:t>
            </w:r>
          </w:p>
        </w:tc>
        <w:tc>
          <w:tcPr>
            <w:tcW w:type="dxa" w:w="4500"/>
          </w:tcPr>
          <w:p>
            <w:r>
              <w:t xml:space="preserve">3,000</w:t>
            </w:r>
          </w:p>
        </w:tc>
      </w:tr>
      <w:tr>
        <w:tc>
          <w:tcPr>
            <w:tcW w:type="dxa" w:w="4500"/>
          </w:tcPr>
          <w:p>
            <w:r>
              <w:t xml:space="preserve">2019-05-01</w:t>
            </w:r>
          </w:p>
        </w:tc>
        <w:tc>
          <w:tcPr>
            <w:tcW w:type="dxa" w:w="4500"/>
          </w:tcPr>
          <w:p>
            <w:r>
              <w:t xml:space="preserve">6,400</w:t>
            </w:r>
          </w:p>
        </w:tc>
      </w:tr>
      <w:tr>
        <w:tc>
          <w:tcPr>
            <w:tcW w:type="dxa" w:w="4500"/>
          </w:tcPr>
          <w:p>
            <w:r>
              <w:t xml:space="preserve">2019-05-02</w:t>
            </w:r>
          </w:p>
        </w:tc>
        <w:tc>
          <w:tcPr>
            <w:tcW w:type="dxa" w:w="4500"/>
          </w:tcPr>
          <w:p>
            <w:r>
              <w:t xml:space="preserve">6,700</w:t>
            </w:r>
          </w:p>
        </w:tc>
      </w:tr>
      <w:tr>
        <w:tc>
          <w:tcPr>
            <w:tcW w:type="dxa" w:w="4500"/>
          </w:tcPr>
          <w:p>
            <w:r>
              <w:t xml:space="preserve">2019-05-03</w:t>
            </w:r>
          </w:p>
        </w:tc>
        <w:tc>
          <w:tcPr>
            <w:tcW w:type="dxa" w:w="4500"/>
          </w:tcPr>
          <w:p>
            <w:r>
              <w:t xml:space="preserve">6,240</w:t>
            </w:r>
          </w:p>
        </w:tc>
      </w:tr>
      <w:tr>
        <w:tc>
          <w:tcPr>
            <w:tcW w:type="dxa" w:w="4500"/>
          </w:tcPr>
          <w:p>
            <w:r>
              <w:t xml:space="preserve">2019-05-04</w:t>
            </w:r>
          </w:p>
        </w:tc>
        <w:tc>
          <w:tcPr>
            <w:tcW w:type="dxa" w:w="4500"/>
          </w:tcPr>
          <w:p>
            <w:r>
              <w:t xml:space="preserve">3,980</w:t>
            </w:r>
          </w:p>
        </w:tc>
      </w:tr>
      <w:tr>
        <w:tc>
          <w:tcPr>
            <w:tcW w:type="dxa" w:w="4500"/>
          </w:tcPr>
          <w:p>
            <w:r>
              <w:t xml:space="preserve">2019-05-05</w:t>
            </w:r>
          </w:p>
        </w:tc>
        <w:tc>
          <w:tcPr>
            <w:tcW w:type="dxa" w:w="4500"/>
          </w:tcPr>
          <w:p>
            <w:r>
              <w:t xml:space="preserve">2,050</w:t>
            </w:r>
          </w:p>
        </w:tc>
      </w:tr>
      <w:tr>
        <w:tc>
          <w:tcPr>
            <w:tcW w:type="dxa" w:w="4500"/>
          </w:tcPr>
          <w:p>
            <w:r>
              <w:t xml:space="preserve">2019-05-06</w:t>
            </w:r>
          </w:p>
        </w:tc>
        <w:tc>
          <w:tcPr>
            <w:tcW w:type="dxa" w:w="4500"/>
          </w:tcPr>
          <w:p>
            <w:r>
              <w:t xml:space="preserve">1,490</w:t>
            </w:r>
          </w:p>
        </w:tc>
      </w:tr>
      <w:tr>
        <w:tc>
          <w:tcPr>
            <w:tcW w:type="dxa" w:w="4500"/>
          </w:tcPr>
          <w:p>
            <w:r>
              <w:t xml:space="preserve">2019-05-07</w:t>
            </w:r>
          </w:p>
        </w:tc>
        <w:tc>
          <w:tcPr>
            <w:tcW w:type="dxa" w:w="4500"/>
          </w:tcPr>
          <w:p>
            <w:r>
              <w:t xml:space="preserve">1,420</w:t>
            </w:r>
          </w:p>
        </w:tc>
      </w:tr>
    </w:tbl>
    <w:p/>
    <w:p>
      <w:r>
        <w:rPr>
          <w:i/>
          <w:iCs/>
        </w:rPr>
        <w:t xml:space="preserve">(Source: [S3])</w:t>
      </w:r>
    </w:p>
    <w:p>
      <w:pPr>
        <w:pStyle w:val="Heading2"/>
        <w:spacing w:after="120" w:before="240"/>
      </w:pPr>
      <w:r>
        <w:t xml:space="preserve">Appendix B — The Reach: Capacity and Flood-Frequency Record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
            </w:r>
          </w:p>
        </w:tc>
        <w:tc>
          <w:tcPr>
            <w:tcW w:type="dxa" w:w="4500"/>
            <w:shd w:fill="DDDDDD" w:val="clear"/>
          </w:tcPr>
          <w:p>
            <w:r>
              <w:t xml:space="preserve">Value</w:t>
            </w:r>
          </w:p>
        </w:tc>
      </w:tr>
      <w:tr>
        <w:tc>
          <w:tcPr>
            <w:tcW w:type="dxa" w:w="4500"/>
          </w:tcPr>
          <w:p>
            <w:r>
              <w:t xml:space="preserve">National Weather Service </w:t>
            </w:r>
            <w:r>
              <w:rPr>
                <w:b/>
                <w:bCs/>
              </w:rPr>
              <w:t xml:space="preserve">minor flood stage</w:t>
            </w:r>
            <w:r>
              <w:t xml:space="preserve"> at this gage</w:t>
            </w:r>
          </w:p>
        </w:tc>
        <w:tc>
          <w:tcPr>
            <w:tcW w:type="dxa" w:w="4500"/>
          </w:tcPr>
          <w:p>
            <w:r>
              <w:t xml:space="preserve">21.5 ft (action stage 20.0 ft; moderate and major flood stages are not defined for this gage) [S4]</w:t>
            </w:r>
          </w:p>
        </w:tc>
      </w:tr>
      <w:tr>
        <w:tc>
          <w:tcPr>
            <w:tcW w:type="dxa" w:w="4500"/>
          </w:tcPr>
          <w:p>
            <w:r>
              <w:rPr>
                <w:b/>
                <w:bCs/>
              </w:rPr>
              <w:t xml:space="preserve">Channel capacity</w:t>
            </w:r>
            <w:r>
              <w:t xml:space="preserve"> — discharge at minor flood stage, from the gage's own rating</w:t>
            </w:r>
          </w:p>
        </w:tc>
        <w:tc>
          <w:tcPr>
            <w:tcW w:type="dxa" w:w="4500"/>
          </w:tcPr>
          <w:p>
            <w:r>
              <w:rPr>
                <w:b/>
                <w:bCs/>
              </w:rPr>
              <w:t xml:space="preserve">1,934 cfs</w:t>
            </w:r>
            <w:r>
              <w:t xml:space="preserve"> [S5]</w:t>
            </w:r>
          </w:p>
        </w:tc>
      </w:tr>
    </w:tbl>
    <w:p/>
    <w:p>
      <w:r>
        <w:rPr>
          <w:b/>
          <w:bCs/>
        </w:rPr>
        <w:t xml:space="preserve">USGS stage-discharge rating 31.0 for site 05469000</w:t>
      </w:r>
      <w:r>
        <w:t xml:space="preserve"> (excerpt) [S5]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Gage height (ft)</w:t>
            </w:r>
          </w:p>
        </w:tc>
        <w:tc>
          <w:tcPr>
            <w:tcW w:type="dxa" w:w="4500"/>
            <w:shd w:fill="DDDDDD" w:val="clear"/>
          </w:tcPr>
          <w:p>
            <w:r>
              <w:t xml:space="preserve">Discharge (cfs)</w:t>
            </w:r>
          </w:p>
        </w:tc>
      </w:tr>
      <w:tr>
        <w:tc>
          <w:tcPr>
            <w:tcW w:type="dxa" w:w="4500"/>
          </w:tcPr>
          <w:p>
            <w:r>
              <w:t xml:space="preserve">20.00</w:t>
            </w:r>
          </w:p>
        </w:tc>
        <w:tc>
          <w:tcPr>
            <w:tcW w:type="dxa" w:w="4500"/>
          </w:tcPr>
          <w:p>
            <w:r>
              <w:t xml:space="preserve">1,415</w:t>
            </w:r>
          </w:p>
        </w:tc>
      </w:tr>
      <w:tr>
        <w:tc>
          <w:tcPr>
            <w:tcW w:type="dxa" w:w="4500"/>
          </w:tcPr>
          <w:p>
            <w:r>
              <w:t xml:space="preserve">21.50</w:t>
            </w:r>
          </w:p>
        </w:tc>
        <w:tc>
          <w:tcPr>
            <w:tcW w:type="dxa" w:w="4500"/>
          </w:tcPr>
          <w:p>
            <w:r>
              <w:t xml:space="preserve">1,934</w:t>
            </w:r>
          </w:p>
        </w:tc>
      </w:tr>
      <w:tr>
        <w:tc>
          <w:tcPr>
            <w:tcW w:type="dxa" w:w="4500"/>
          </w:tcPr>
          <w:p>
            <w:r>
              <w:t xml:space="preserve">22.00</w:t>
            </w:r>
          </w:p>
        </w:tc>
        <w:tc>
          <w:tcPr>
            <w:tcW w:type="dxa" w:w="4500"/>
          </w:tcPr>
          <w:p>
            <w:r>
              <w:t xml:space="preserve">2,147</w:t>
            </w:r>
          </w:p>
        </w:tc>
      </w:tr>
      <w:tr>
        <w:tc>
          <w:tcPr>
            <w:tcW w:type="dxa" w:w="4500"/>
          </w:tcPr>
          <w:p>
            <w:r>
              <w:t xml:space="preserve">23.00</w:t>
            </w:r>
          </w:p>
        </w:tc>
        <w:tc>
          <w:tcPr>
            <w:tcW w:type="dxa" w:w="4500"/>
          </w:tcPr>
          <w:p>
            <w:r>
              <w:t xml:space="preserve">2,663</w:t>
            </w:r>
          </w:p>
        </w:tc>
      </w:tr>
      <w:tr>
        <w:tc>
          <w:tcPr>
            <w:tcW w:type="dxa" w:w="4500"/>
          </w:tcPr>
          <w:p>
            <w:r>
              <w:t xml:space="preserve">24.00</w:t>
            </w:r>
          </w:p>
        </w:tc>
        <w:tc>
          <w:tcPr>
            <w:tcW w:type="dxa" w:w="4500"/>
          </w:tcPr>
          <w:p>
            <w:r>
              <w:t xml:space="preserve">3,290</w:t>
            </w:r>
          </w:p>
        </w:tc>
      </w:tr>
      <w:tr>
        <w:tc>
          <w:tcPr>
            <w:tcW w:type="dxa" w:w="4500"/>
          </w:tcPr>
          <w:p>
            <w:r>
              <w:t xml:space="preserve">25.00</w:t>
            </w:r>
          </w:p>
        </w:tc>
        <w:tc>
          <w:tcPr>
            <w:tcW w:type="dxa" w:w="4500"/>
          </w:tcPr>
          <w:p>
            <w:r>
              <w:t xml:space="preserve">4,117</w:t>
            </w:r>
          </w:p>
        </w:tc>
      </w:tr>
      <w:tr>
        <w:tc>
          <w:tcPr>
            <w:tcW w:type="dxa" w:w="4500"/>
          </w:tcPr>
          <w:p>
            <w:r>
              <w:t xml:space="preserve">26.00</w:t>
            </w:r>
          </w:p>
        </w:tc>
        <w:tc>
          <w:tcPr>
            <w:tcW w:type="dxa" w:w="4500"/>
          </w:tcPr>
          <w:p>
            <w:r>
              <w:t xml:space="preserve">5,927</w:t>
            </w:r>
          </w:p>
        </w:tc>
      </w:tr>
      <w:tr>
        <w:tc>
          <w:tcPr>
            <w:tcW w:type="dxa" w:w="4500"/>
          </w:tcPr>
          <w:p>
            <w:r>
              <w:t xml:space="preserve">26.50</w:t>
            </w:r>
          </w:p>
        </w:tc>
        <w:tc>
          <w:tcPr>
            <w:tcW w:type="dxa" w:w="4500"/>
          </w:tcPr>
          <w:p>
            <w:r>
              <w:t xml:space="preserve">7,049</w:t>
            </w:r>
          </w:p>
        </w:tc>
      </w:tr>
      <w:tr>
        <w:tc>
          <w:tcPr>
            <w:tcW w:type="dxa" w:w="4500"/>
          </w:tcPr>
          <w:p>
            <w:r>
              <w:t xml:space="preserve">27.00</w:t>
            </w:r>
          </w:p>
        </w:tc>
        <w:tc>
          <w:tcPr>
            <w:tcW w:type="dxa" w:w="4500"/>
          </w:tcPr>
          <w:p>
            <w:r>
              <w:t xml:space="preserve">8,337</w:t>
            </w:r>
          </w:p>
        </w:tc>
      </w:tr>
      <w:tr>
        <w:tc>
          <w:tcPr>
            <w:tcW w:type="dxa" w:w="4500"/>
          </w:tcPr>
          <w:p>
            <w:r>
              <w:t xml:space="preserve">28.00</w:t>
            </w:r>
          </w:p>
        </w:tc>
        <w:tc>
          <w:tcPr>
            <w:tcW w:type="dxa" w:w="4500"/>
          </w:tcPr>
          <w:p>
            <w:r>
              <w:t xml:space="preserve">11,488</w:t>
            </w:r>
          </w:p>
        </w:tc>
      </w:tr>
    </w:tbl>
    <w:p/>
    <w:p>
      <w:r>
        <w:rPr>
          <w:b/>
          <w:bCs/>
        </w:rPr>
        <w:t xml:space="preserve">Published peak-flow frequency at this gage</w:t>
      </w:r>
      <w:r>
        <w:t xml:space="preserve">, at-site estimates from 1924–2017 annual peaks [S6]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Annual exceedance probability</w:t>
            </w:r>
          </w:p>
        </w:tc>
        <w:tc>
          <w:tcPr>
            <w:tcW w:type="dxa" w:w="4500"/>
            <w:shd w:fill="DDDDDD" w:val="clear"/>
          </w:tcPr>
          <w:p>
            <w:r>
              <w:t xml:space="preserve">Peak discharge (cfs)</w:t>
            </w:r>
          </w:p>
        </w:tc>
      </w:tr>
      <w:tr>
        <w:tc>
          <w:tcPr>
            <w:tcW w:type="dxa" w:w="4500"/>
          </w:tcPr>
          <w:p>
            <w:r>
              <w:t xml:space="preserve">50%</w:t>
            </w:r>
          </w:p>
        </w:tc>
        <w:tc>
          <w:tcPr>
            <w:tcW w:type="dxa" w:w="4500"/>
          </w:tcPr>
          <w:p>
            <w:r>
              <w:t xml:space="preserve">5,070</w:t>
            </w:r>
          </w:p>
        </w:tc>
      </w:tr>
      <w:tr>
        <w:tc>
          <w:tcPr>
            <w:tcW w:type="dxa" w:w="4500"/>
          </w:tcPr>
          <w:p>
            <w:r>
              <w:t xml:space="preserve">20%</w:t>
            </w:r>
          </w:p>
        </w:tc>
        <w:tc>
          <w:tcPr>
            <w:tcW w:type="dxa" w:w="4500"/>
          </w:tcPr>
          <w:p>
            <w:r>
              <w:t xml:space="preserve">9,020</w:t>
            </w:r>
          </w:p>
        </w:tc>
      </w:tr>
      <w:tr>
        <w:tc>
          <w:tcPr>
            <w:tcW w:type="dxa" w:w="4500"/>
          </w:tcPr>
          <w:p>
            <w:r>
              <w:t xml:space="preserve">10%</w:t>
            </w:r>
          </w:p>
        </w:tc>
        <w:tc>
          <w:tcPr>
            <w:tcW w:type="dxa" w:w="4500"/>
          </w:tcPr>
          <w:p>
            <w:r>
              <w:t xml:space="preserve">12,400</w:t>
            </w:r>
          </w:p>
        </w:tc>
      </w:tr>
      <w:tr>
        <w:tc>
          <w:tcPr>
            <w:tcW w:type="dxa" w:w="4500"/>
          </w:tcPr>
          <w:p>
            <w:r>
              <w:t xml:space="preserve">4%</w:t>
            </w:r>
          </w:p>
        </w:tc>
        <w:tc>
          <w:tcPr>
            <w:tcW w:type="dxa" w:w="4500"/>
          </w:tcPr>
          <w:p>
            <w:r>
              <w:t xml:space="preserve">17,700</w:t>
            </w:r>
          </w:p>
        </w:tc>
      </w:tr>
      <w:tr>
        <w:tc>
          <w:tcPr>
            <w:tcW w:type="dxa" w:w="4500"/>
          </w:tcPr>
          <w:p>
            <w:r>
              <w:t xml:space="preserve">2%</w:t>
            </w:r>
          </w:p>
        </w:tc>
        <w:tc>
          <w:tcPr>
            <w:tcW w:type="dxa" w:w="4500"/>
          </w:tcPr>
          <w:p>
            <w:r>
              <w:t xml:space="preserve">22,400</w:t>
            </w:r>
          </w:p>
        </w:tc>
      </w:tr>
      <w:tr>
        <w:tc>
          <w:tcPr>
            <w:tcW w:type="dxa" w:w="4500"/>
          </w:tcPr>
          <w:p>
            <w:r>
              <w:t xml:space="preserve">1%</w:t>
            </w:r>
          </w:p>
        </w:tc>
        <w:tc>
          <w:tcPr>
            <w:tcW w:type="dxa" w:w="4500"/>
          </w:tcPr>
          <w:p>
            <w:r>
              <w:t xml:space="preserve">27,800</w:t>
            </w:r>
          </w:p>
        </w:tc>
      </w:tr>
      <w:tr>
        <w:tc>
          <w:tcPr>
            <w:tcW w:type="dxa" w:w="4500"/>
          </w:tcPr>
          <w:p>
            <w:r>
              <w:t xml:space="preserve">0.5%</w:t>
            </w:r>
          </w:p>
        </w:tc>
        <w:tc>
          <w:tcPr>
            <w:tcW w:type="dxa" w:w="4500"/>
          </w:tcPr>
          <w:p>
            <w:r>
              <w:t xml:space="preserve">34,000</w:t>
            </w:r>
          </w:p>
        </w:tc>
      </w:tr>
      <w:tr>
        <w:tc>
          <w:tcPr>
            <w:tcW w:type="dxa" w:w="4500"/>
          </w:tcPr>
          <w:p>
            <w:r>
              <w:t xml:space="preserve">0.2%</w:t>
            </w:r>
          </w:p>
        </w:tc>
        <w:tc>
          <w:tcPr>
            <w:tcW w:type="dxa" w:w="4500"/>
          </w:tcPr>
          <w:p>
            <w:r>
              <w:t xml:space="preserve">43,800</w:t>
            </w:r>
          </w:p>
        </w:tc>
      </w:tr>
    </w:tbl>
    <w:p/>
    <w:p>
      <w:r>
        <w:rPr>
          <w:i/>
          <w:iCs/>
        </w:rPr>
        <w:t xml:space="preserve">These are </w:t>
      </w:r>
      <w:r>
        <w:rPr>
          <w:i/>
          <w:iCs/>
        </w:rPr>
        <w:t xml:space="preserve">instantaneous</w:t>
      </w:r>
      <w:r>
        <w:rPr>
          <w:i/>
          <w:iCs/>
        </w:rPr>
        <w:t xml:space="preserve"> peak discharges. Every other discharge figure in this case is a </w:t>
      </w:r>
      <w:r>
        <w:rPr>
          <w:i/>
          <w:iCs/>
        </w:rPr>
        <w:t xml:space="preserve">daily mean</w:t>
      </w:r>
      <w:r>
        <w:rPr>
          <w:i/>
          <w:iCs/>
        </w:rPr>
        <w:t xml:space="preserve">. The two quantities are not the same thing and are not directly comparable [S6, S7].</w:t>
      </w:r>
    </w:p>
    <w:p>
      <w:pPr>
        <w:pStyle w:val="Heading2"/>
        <w:spacing w:after="120" w:before="240"/>
      </w:pPr>
      <w:r>
        <w:t xml:space="preserve">Appendix C — The Two Bids</w:t>
      </w:r>
    </w:p>
    <w:p>
      <w:r>
        <w:t xml:space="preserve">Both bids came in at the appropriation ceiling in APPENDIX D — the board published the number, and both contractors priced to it (SEE APPENDIX F, MA1).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
            </w:r>
          </w:p>
        </w:tc>
        <w:tc>
          <w:tcPr>
            <w:tcW w:type="dxa" w:w="3000"/>
            <w:shd w:fill="DDDDDD" w:val="clear"/>
          </w:tcPr>
          <w:p>
            <w:r>
              <w:t xml:space="preserve">Bid A: The Crest Standard</w:t>
            </w:r>
          </w:p>
        </w:tc>
        <w:tc>
          <w:tcPr>
            <w:tcW w:type="dxa" w:w="3000"/>
            <w:shd w:fill="DDDDDD" w:val="clear"/>
          </w:tcPr>
          <w:p>
            <w:r>
              <w:t xml:space="preserve">Bid B: The Basin Standard</w:t>
            </w:r>
          </w:p>
        </w:tc>
      </w:tr>
      <w:tr>
        <w:tc>
          <w:tcPr>
            <w:tcW w:type="dxa" w:w="3000"/>
          </w:tcPr>
          <w:p>
            <w:r>
              <w:t xml:space="preserve">Scope</w:t>
            </w:r>
          </w:p>
        </w:tc>
        <w:tc>
          <w:tcPr>
            <w:tcW w:type="dxa" w:w="3000"/>
          </w:tcPr>
          <w:p>
            <w:r>
              <w:t xml:space="preserve">Raise and armor 2.50 miles of levee crown by 4.50 ft</w:t>
            </w:r>
          </w:p>
        </w:tc>
        <w:tc>
          <w:tcPr>
            <w:tcW w:type="dxa" w:w="3000"/>
          </w:tcPr>
          <w:p>
            <w:r>
              <w:t xml:space="preserve">Two upstream floodwater detention structures</w:t>
            </w:r>
          </w:p>
        </w:tc>
      </w:tr>
      <w:tr>
        <w:tc>
          <w:tcPr>
            <w:tcW w:type="dxa" w:w="3000"/>
          </w:tcPr>
          <w:p>
            <w:r>
              <w:t xml:space="preserve">Discharge the channel then carries</w:t>
            </w:r>
          </w:p>
        </w:tc>
        <w:tc>
          <w:tcPr>
            <w:tcW w:type="dxa" w:w="3000"/>
          </w:tcPr>
          <w:p>
            <w:r>
              <w:rPr>
                <w:b/>
                <w:bCs/>
              </w:rPr>
              <w:t xml:space="preserve">5,927 cfs</w:t>
            </w:r>
            <w:r>
              <w:t xml:space="preserve"> — the rating's value 4.50 ft above minor flood stage, at 26.00 ft [S5]</w:t>
            </w:r>
          </w:p>
        </w:tc>
        <w:tc>
          <w:tcPr>
            <w:tcW w:type="dxa" w:w="3000"/>
          </w:tcPr>
          <w:p>
            <w:r>
              <w:t xml:space="preserve">Unchanged at 1,934 cfs [S5]</w:t>
            </w:r>
          </w:p>
        </w:tc>
      </w:tr>
      <w:tr>
        <w:tc>
          <w:tcPr>
            <w:tcW w:type="dxa" w:w="3000"/>
          </w:tcPr>
          <w:p>
            <w:r>
              <w:t xml:space="preserve">Storage provided</w:t>
            </w:r>
          </w:p>
        </w:tc>
        <w:tc>
          <w:tcPr>
            <w:tcW w:type="dxa" w:w="3000"/>
          </w:tcPr>
          <w:p>
            <w:r>
              <w:t xml:space="preserve">None. The crest handles rate, not volume</w:t>
            </w:r>
          </w:p>
        </w:tc>
        <w:tc>
          <w:tcPr>
            <w:tcW w:type="dxa" w:w="3000"/>
          </w:tcPr>
          <w:p>
            <w:r>
              <w:rPr>
                <w:b/>
                <w:bCs/>
              </w:rPr>
              <w:t xml:space="preserve">25,000 acre-feet</w:t>
            </w:r>
            <w:r>
              <w:t xml:space="preserve"> authorized — two structures at the 12,500 acre-foot per-structure ceiling in 16 U.S.C. 1002 [S8]</w:t>
            </w:r>
          </w:p>
        </w:tc>
      </w:tr>
      <w:tr>
        <w:tc>
          <w:tcPr>
            <w:tcW w:type="dxa" w:w="3000"/>
          </w:tcPr>
          <w:p>
            <w:r>
              <w:t xml:space="preserve">Usable storage at the start of a storm</w:t>
            </w:r>
          </w:p>
        </w:tc>
        <w:tc>
          <w:tcPr>
            <w:tcW w:type="dxa" w:w="3000"/>
          </w:tcPr>
          <w:p>
            <w:r>
              <w:t xml:space="preserve">—</w:t>
            </w:r>
          </w:p>
        </w:tc>
        <w:tc>
          <w:tcPr>
            <w:tcW w:type="dxa" w:w="3000"/>
          </w:tcPr>
          <w:p>
            <w:r>
              <w:rPr>
                <w:b/>
                <w:bCs/>
              </w:rPr>
              <w:t xml:space="preserve">24,000 acre-feet</w:t>
            </w:r>
            <w:r>
              <w:t xml:space="preserve"> (SEE APPENDIX F, MA2)</w:t>
            </w:r>
          </w:p>
        </w:tc>
      </w:tr>
      <w:tr>
        <w:tc>
          <w:tcPr>
            <w:tcW w:type="dxa" w:w="3000"/>
          </w:tcPr>
          <w:p>
            <w:r>
              <w:t xml:space="preserve">Duration it can hold</w:t>
            </w:r>
          </w:p>
        </w:tc>
        <w:tc>
          <w:tcPr>
            <w:tcW w:type="dxa" w:w="3000"/>
          </w:tcPr>
          <w:p>
            <w:r>
              <w:t xml:space="preserve">Unlimited at or below its design discharge</w:t>
            </w:r>
          </w:p>
        </w:tc>
        <w:tc>
          <w:tcPr>
            <w:tcW w:type="dxa" w:w="3000"/>
          </w:tcPr>
          <w:p>
            <w:r>
              <w:t xml:space="preserve">Until the storage is full</w:t>
            </w:r>
          </w:p>
        </w:tc>
      </w:tr>
      <w:tr>
        <w:tc>
          <w:tcPr>
            <w:tcW w:type="dxa" w:w="3000"/>
          </w:tcPr>
          <w:p>
            <w:r>
              <w:t xml:space="preserve">Bid price</w:t>
            </w:r>
          </w:p>
        </w:tc>
        <w:tc>
          <w:tcPr>
            <w:tcW w:type="dxa" w:w="3000"/>
          </w:tcPr>
          <w:p>
            <w:r>
              <w:t xml:space="preserve">The full appropriation (SEE APPENDIX D)</w:t>
            </w:r>
          </w:p>
        </w:tc>
        <w:tc>
          <w:tcPr>
            <w:tcW w:type="dxa" w:w="3000"/>
          </w:tcPr>
          <w:p>
            <w:r>
              <w:t xml:space="preserve">The full appropriation (SEE APPENDIX D)</w:t>
            </w:r>
          </w:p>
        </w:tc>
      </w:tr>
      <w:tr>
        <w:tc>
          <w:tcPr>
            <w:tcW w:type="dxa" w:w="3000"/>
          </w:tcPr>
          <w:p>
            <w:r>
              <w:t xml:space="preserve">How its scope was priced</w:t>
            </w:r>
          </w:p>
        </w:tc>
        <w:tc>
          <w:tcPr>
            <w:tcW w:type="dxa" w:w="3000"/>
          </w:tcPr>
          <w:p>
            <w:r>
              <w:t xml:space="preserve">A comparable U.S. Army Corps of Engineers project raised a levee an average of 5 ft at a cost of $258 million across a 17-mile system [S9]</w:t>
            </w:r>
          </w:p>
        </w:tc>
        <w:tc>
          <w:tcPr>
            <w:tcW w:type="dxa" w:w="3000"/>
          </w:tcPr>
          <w:p>
            <w:r>
              <w:t xml:space="preserve">Detention pools are farmland; Illinois cropland averaged $9,850 per acre in 2025 [S10]</w:t>
            </w:r>
          </w:p>
        </w:tc>
      </w:tr>
    </w:tbl>
    <w:p/>
    <w:p>
      <w:r>
        <w:rPr>
          <w:b/>
          <w:bCs/>
        </w:rPr>
        <w:t xml:space="preserve">A levee is only as high as its lowest point.</w:t>
      </w:r>
      <w:r>
        <w:t xml:space="preserve"> Bid A raises the </w:t>
      </w:r>
      <w:r>
        <w:rPr>
          <w:i/>
          <w:iCs/>
        </w:rPr>
        <w:t xml:space="preserve">whole</w:t>
      </w:r>
      <w:r>
        <w:t xml:space="preserve"> 2.50-mile reach or the reach is not certified at all — the height in its scope line is the height it holds everywhere, and it is what the contractor bid against the published appropriation, not a figure the district derived (SEE APPENDIX F, MA1).</w:t>
      </w:r>
    </w:p>
    <w:p>
      <w:r>
        <w:rPr>
          <w:b/>
          <w:bCs/>
        </w:rPr>
        <w:t xml:space="preserve">Shortfall, per option.</w:t>
      </w:r>
      <w:r>
        <w:t xml:space="preserve"> Bid A's shortfall on a storm is the volume of flow above </w:t>
      </w:r>
      <w:r>
        <w:rPr>
          <w:b/>
          <w:bCs/>
        </w:rPr>
        <w:t xml:space="preserve">5,927 cfs</w:t>
      </w:r>
      <w:r>
        <w:t xml:space="preserve">. Bid B's shortfall on a storm is the floodwater above channel capacity that its usable storage cannot hold. The two design storms are ten weeks apart in the real record, and the detention structures' outlet works draw a full pool down in far less time than that (SEE APPENDIX F, MA3), so each storm meets the structures with their usable storage available.</w:t>
      </w:r>
    </w:p>
    <w:p>
      <w:pPr>
        <w:pStyle w:val="Heading2"/>
        <w:spacing w:after="120" w:before="240"/>
      </w:pPr>
      <w:r>
        <w:t xml:space="preserve">Appendix D — Units, Volume, and the Appropriation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
            </w:r>
          </w:p>
        </w:tc>
        <w:tc>
          <w:tcPr>
            <w:tcW w:type="dxa" w:w="4500"/>
            <w:shd w:fill="DDDDDD" w:val="clear"/>
          </w:tcPr>
          <w:p>
            <w:r>
              <w:t xml:space="preserve">Value</w:t>
            </w:r>
          </w:p>
        </w:tc>
      </w:tr>
      <w:tr>
        <w:tc>
          <w:tcPr>
            <w:tcW w:type="dxa" w:w="4500"/>
          </w:tcPr>
          <w:p>
            <w:r>
              <w:t xml:space="preserve">One cubic foot per second sustained for one day (one </w:t>
            </w:r>
            <w:r>
              <w:rPr>
                <w:b/>
                <w:bCs/>
              </w:rPr>
              <w:t xml:space="preserve">cfs-day</w:t>
            </w:r>
            <w:r>
              <w:t xml:space="preserve">)</w:t>
            </w:r>
          </w:p>
        </w:tc>
        <w:tc>
          <w:tcPr>
            <w:tcW w:type="dxa" w:w="4500"/>
          </w:tcPr>
          <w:p>
            <w:r>
              <w:t xml:space="preserve">86,400 cubic feet = </w:t>
            </w:r>
            <w:r>
              <w:rPr>
                <w:b/>
                <w:bCs/>
              </w:rPr>
              <w:t xml:space="preserve">1.98347 acre-feet</w:t>
            </w:r>
            <w:r>
              <w:t xml:space="preserve"> = 646,317 gallons [S7]</w:t>
            </w:r>
          </w:p>
        </w:tc>
      </w:tr>
      <w:tr>
        <w:tc>
          <w:tcPr>
            <w:tcW w:type="dxa" w:w="4500"/>
          </w:tcPr>
          <w:p>
            <w:r>
              <w:t xml:space="preserve">USGS on its own daily values</w:t>
            </w:r>
          </w:p>
        </w:tc>
        <w:tc>
          <w:tcPr>
            <w:tcW w:type="dxa" w:w="4500"/>
          </w:tcPr>
          <w:p>
            <w:r>
              <w:rPr>
                <w:i/>
                <w:iCs/>
              </w:rPr>
              <w:t xml:space="preserve">"The daily mean discharges reported in the daily value data tables numerically are equal to the daily volumes in cfs-days, and the totals also represent volumes in cfs-days."</w:t>
            </w:r>
            <w:r>
              <w:t xml:space="preserve"> [S7]</w:t>
            </w:r>
          </w:p>
        </w:tc>
      </w:tr>
      <w:tr>
        <w:tc>
          <w:tcPr>
            <w:tcW w:type="dxa" w:w="4500"/>
          </w:tcPr>
          <w:p>
            <w:r>
              <w:t xml:space="preserve">District appropriation, this season</w:t>
            </w:r>
          </w:p>
        </w:tc>
        <w:tc>
          <w:tcPr>
            <w:tcW w:type="dxa" w:w="4500"/>
          </w:tcPr>
          <w:p>
            <w:r>
              <w:rPr>
                <w:b/>
                <w:bCs/>
              </w:rPr>
              <w:t xml:space="preserve">$38,000,000</w:t>
            </w:r>
            <w:r>
              <w:t xml:space="preserve"> (SEE APPENDIX F, MA1)</w:t>
            </w:r>
          </w:p>
        </w:tc>
      </w:tr>
      <w:tr>
        <w:tc>
          <w:tcPr>
            <w:tcW w:type="dxa" w:w="4500"/>
          </w:tcPr>
          <w:p>
            <w:r>
              <w:t xml:space="preserve">Board's scoring number</w:t>
            </w:r>
          </w:p>
        </w:tc>
        <w:tc>
          <w:tcPr>
            <w:tcW w:type="dxa" w:w="4500"/>
          </w:tcPr>
          <w:p>
            <w:r>
              <w:rPr>
                <w:b/>
                <w:bCs/>
              </w:rPr>
              <w:t xml:space="preserve">Acre-feet of floodwater safely managed per one thousand dollars of appropriation, totalled across both design storms</w:t>
            </w:r>
            <w:r>
              <w:t xml:space="preserve"> — </w:t>
            </w:r>
            <w:r>
              <w:rPr>
                <w:i/>
                <w:iCs/>
              </w:rPr>
              <w:t xml:space="preserve">floodwater</w:t>
            </w:r>
            <w:r>
              <w:t xml:space="preserve"> being the volume above channel capacity, as defined in Background. Flow the channel would have carried anyway is not floodwater and is not scored for either bid.</w:t>
            </w:r>
          </w:p>
        </w:tc>
      </w:tr>
    </w:tbl>
    <w:p/>
    <w:p>
      <w:r>
        <w:rPr>
          <w:b/>
          <w:bCs/>
        </w:rPr>
        <w:t xml:space="preserve">Reading Appendix A as a function of time.</w:t>
      </w:r>
      <w:r>
        <w:t xml:space="preserve"> Every row of Appendix A is the mean discharge over one whole day, not a reading taken at an instant. Let </w:t>
      </w:r>
      <w:r>
        <w:rPr>
          <w:i/>
          <w:iCs/>
        </w:rPr>
        <w:t xml:space="preserve">t</w:t>
      </w:r>
      <w:r>
        <w:t xml:space="preserve"> be measured in days, with </w:t>
      </w:r>
      <w:r>
        <w:rPr>
          <w:i/>
          <w:iCs/>
        </w:rPr>
        <w:t xml:space="preserve">t</w:t>
      </w:r>
      <w:r>
        <w:t xml:space="preserve"> = 0 at the start of the first row's day; a storm of </w:t>
      </w:r>
      <w:r>
        <w:rPr>
          <w:i/>
          <w:iCs/>
        </w:rPr>
        <w:t xml:space="preserve">n</w:t>
      </w:r>
      <w:r>
        <w:t xml:space="preserve"> rows then occupies the window 0 ≤ </w:t>
      </w:r>
      <w:r>
        <w:rPr>
          <w:i/>
          <w:iCs/>
        </w:rPr>
        <w:t xml:space="preserve">t</w:t>
      </w:r>
      <w:r>
        <w:t xml:space="preserve"> ≤ </w:t>
      </w:r>
      <w:r>
        <w:rPr>
          <w:i/>
          <w:iCs/>
        </w:rPr>
        <w:t xml:space="preserve">n</w:t>
      </w:r>
      <w:r>
        <w:t xml:space="preserve"> days, and each row is the average value of Q on one one-day subinterval of it. Two things follow, and the district's reports use both:</w:t>
      </w:r>
    </w:p>
    <w:p>
      <w:pPr>
        <w:ind w:left="360"/>
      </w:pPr>
      <w:r>
        <w:t xml:space="preserve">- Sum with Δ</w:t>
      </w:r>
      <w:r>
        <w:rPr>
          <w:i/>
          <w:iCs/>
        </w:rPr>
        <w:t xml:space="preserve">t</w:t>
      </w:r>
      <w:r>
        <w:t xml:space="preserve"> = one day and </w:t>
      </w:r>
      <w:r>
        <w:rPr>
          <w:b/>
          <w:bCs/>
        </w:rPr>
        <w:t xml:space="preserve">one subinterval per row</w:t>
      </w:r>
      <w:r>
        <w:t xml:space="preserve">. Work out for yourself, from the USGS   sentence above, what that sum returns and whether the choice of left, right or midpoint placement   changes it — D1 asks you to say which, and why.</w:t>
      </w:r>
    </w:p>
    <w:p>
      <w:pPr>
        <w:ind w:left="360"/>
      </w:pPr>
      <w:r>
        <w:t xml:space="preserve">- A smooth curve fitted through the rows is a different object. Place each daily mean at the   </w:t>
      </w:r>
      <w:r>
        <w:rPr>
          <w:b/>
          <w:bCs/>
        </w:rPr>
        <w:t xml:space="preserve">midpoint</w:t>
      </w:r>
      <w:r>
        <w:t xml:space="preserve"> of its day (</w:t>
      </w:r>
      <w:r>
        <w:rPr>
          <w:i/>
          <w:iCs/>
        </w:rPr>
        <w:t xml:space="preserve">t</w:t>
      </w:r>
      <w:r>
        <w:t xml:space="preserve"> = 0.5, 1.5, 2.5, …) if you fit one. Compare its integral against   your sum, and be ready to say what any gap between the two is — and whether it is an error.</w:t>
      </w:r>
    </w:p>
    <w:p>
      <w:r>
        <w:t xml:space="preserve">The district scores the bids on the published daily record, so every acre-foot in the D4 table comes from Appendix A's daily values, not from a fitted curve.</w:t>
      </w:r>
    </w:p>
    <w:p>
      <w:pPr>
        <w:pStyle w:val="Heading2"/>
        <w:spacing w:after="120" w:before="240"/>
      </w:pPr>
      <w:r>
        <w:t xml:space="preserve">Appendix E —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DDDDD" w:val="clear"/>
          </w:tcPr>
          <w:p>
            <w:r>
              <w:t xml:space="preserve">id</w:t>
            </w:r>
          </w:p>
        </w:tc>
        <w:tc>
          <w:tcPr>
            <w:tcW w:type="dxa" w:w="1500"/>
            <w:shd w:fill="DDDDDD" w:val="clear"/>
          </w:tcPr>
          <w:p>
            <w:r>
              <w:t xml:space="preserve">Claim</w:t>
            </w:r>
          </w:p>
        </w:tc>
        <w:tc>
          <w:tcPr>
            <w:tcW w:type="dxa" w:w="1500"/>
            <w:shd w:fill="DDDDDD" w:val="clear"/>
          </w:tcPr>
          <w:p>
            <w:r>
              <w:t xml:space="preserve">Value</w:t>
            </w:r>
          </w:p>
        </w:tc>
        <w:tc>
          <w:tcPr>
            <w:tcW w:type="dxa" w:w="1500"/>
            <w:shd w:fill="DDDDDD" w:val="clear"/>
          </w:tcPr>
          <w:p>
            <w:r>
              <w:t xml:space="preserve">Source</w:t>
            </w:r>
          </w:p>
        </w:tc>
        <w:tc>
          <w:tcPr>
            <w:tcW w:type="dxa" w:w="1500"/>
            <w:shd w:fill="DDDDDD" w:val="clear"/>
          </w:tcPr>
          <w:p>
            <w:r>
              <w:t xml:space="preserve">Accessed</w:t>
            </w:r>
          </w:p>
        </w:tc>
        <w:tc>
          <w:tcPr>
            <w:tcW w:type="dxa" w:w="1500"/>
            <w:shd w:fill="DDDDDD" w:val="clear"/>
          </w:tcPr>
          <w:p>
            <w:r>
              <w:t xml:space="preserve">Confidence</w:t>
            </w:r>
          </w:p>
        </w:tc>
      </w:tr>
      <w:tr>
        <w:tc>
          <w:tcPr>
            <w:tcW w:type="dxa" w:w="1500"/>
          </w:tcPr>
          <w:p>
            <w:r>
              <w:t xml:space="preserve">S1</w:t>
            </w:r>
          </w:p>
        </w:tc>
        <w:tc>
          <w:tcPr>
            <w:tcW w:type="dxa" w:w="1500"/>
          </w:tcPr>
          <w:p>
            <w:r>
              <w:t xml:space="preserve">Gage identity, location, drainage area, gage altitude</w:t>
            </w:r>
          </w:p>
        </w:tc>
        <w:tc>
          <w:tcPr>
            <w:tcW w:type="dxa" w:w="1500"/>
          </w:tcPr>
          <w:p>
            <w:r>
              <w:t xml:space="preserve">Henderson Creek near Oquawka, IL; USGS 05469000; 432 sq mi; 540.64 ft NAVD88</w:t>
            </w:r>
          </w:p>
        </w:tc>
        <w:tc>
          <w:tcPr>
            <w:tcW w:type="dxa" w:w="1500"/>
          </w:tcPr>
          <w:p>
            <w:r>
              <w:t xml:space="preserve">U.S. Geological Survey, NWIS Site Service, expanded site record for 05469000 (</w:t>
            </w:r>
            <w:hyperlink w:history="1" r:id="rIdqq8xhlvtxezz7m-mkl5gw">
              <w:r>
                <w:rPr>
                  <w:rStyle w:val="Hyperlink"/>
                </w:rPr>
                <w:t xml:space="preserve">link</w:t>
              </w:r>
            </w:hyperlink>
            <w:r>
              <w:t xml:space="preserve">)</w:t>
            </w:r>
          </w:p>
        </w:tc>
        <w:tc>
          <w:tcPr>
            <w:tcW w:type="dxa" w:w="1500"/>
          </w:tcPr>
          <w:p>
            <w:r>
              <w:t xml:space="preserve">2026-08-12</w:t>
            </w:r>
          </w:p>
        </w:tc>
        <w:tc>
          <w:tcPr>
            <w:tcW w:type="dxa" w:w="1500"/>
          </w:tcPr>
          <w:p>
            <w:r>
              <w:t xml:space="preserve">HIGH</w:t>
            </w:r>
          </w:p>
        </w:tc>
      </w:tr>
      <w:tr>
        <w:tc>
          <w:tcPr>
            <w:tcW w:type="dxa" w:w="1500"/>
          </w:tcPr>
          <w:p>
            <w:r>
              <w:t xml:space="preserve">S2</w:t>
            </w:r>
          </w:p>
        </w:tc>
        <w:tc>
          <w:tcPr>
            <w:tcW w:type="dxa" w:w="1500"/>
          </w:tcPr>
          <w:p>
            <w:r>
              <w:t xml:space="preserve">Daily mean discharge, Design Storm 1</w:t>
            </w:r>
          </w:p>
        </w:tc>
        <w:tc>
          <w:tcPr>
            <w:tcW w:type="dxa" w:w="1500"/>
          </w:tcPr>
          <w:p>
            <w:r>
              <w:t xml:space="preserve">413 / 3,290 / 8,060 / 4,220 / 1,130 / 690 / 490 / 474 cfs, 2019-02-22 to 2019-03-01, all code </w:t>
            </w:r>
            <w:r>
              <w:rPr>
                <w:rFonts w:ascii="Courier New" w:cs="Courier New" w:eastAsia="Courier New" w:hAnsi="Courier New"/>
              </w:rPr>
              <w:t xml:space="preserve">A</w:t>
            </w:r>
          </w:p>
        </w:tc>
        <w:tc>
          <w:tcPr>
            <w:tcW w:type="dxa" w:w="1500"/>
          </w:tcPr>
          <w:p>
            <w:r>
              <w:t xml:space="preserve">USGS NWIS Daily Values Service, site 05469000, parameter 00060, statistic 00003 (</w:t>
            </w:r>
            <w:hyperlink w:history="1" r:id="rIdivr1jrzgivtuk_h_yblpr">
              <w:r>
                <w:rPr>
                  <w:rStyle w:val="Hyperlink"/>
                </w:rPr>
                <w:t xml:space="preserve">link</w:t>
              </w:r>
            </w:hyperlink>
            <w:r>
              <w:t xml:space="preserve">)</w:t>
            </w:r>
          </w:p>
        </w:tc>
        <w:tc>
          <w:tcPr>
            <w:tcW w:type="dxa" w:w="1500"/>
          </w:tcPr>
          <w:p>
            <w:r>
              <w:t xml:space="preserve">2026-08-12</w:t>
            </w:r>
          </w:p>
        </w:tc>
        <w:tc>
          <w:tcPr>
            <w:tcW w:type="dxa" w:w="1500"/>
          </w:tcPr>
          <w:p>
            <w:r>
              <w:t xml:space="preserve">HIGH</w:t>
            </w:r>
          </w:p>
        </w:tc>
      </w:tr>
      <w:tr>
        <w:tc>
          <w:tcPr>
            <w:tcW w:type="dxa" w:w="1500"/>
          </w:tcPr>
          <w:p>
            <w:r>
              <w:t xml:space="preserve">S3</w:t>
            </w:r>
          </w:p>
        </w:tc>
        <w:tc>
          <w:tcPr>
            <w:tcW w:type="dxa" w:w="1500"/>
          </w:tcPr>
          <w:p>
            <w:r>
              <w:t xml:space="preserve">Daily mean discharge, Design Storm 2</w:t>
            </w:r>
          </w:p>
        </w:tc>
        <w:tc>
          <w:tcPr>
            <w:tcW w:type="dxa" w:w="1500"/>
          </w:tcPr>
          <w:p>
            <w:r>
              <w:t xml:space="preserve">225 / 932 / 3,000 / 6,400 / 6,700 / 6,240 / 3,980 / 2,050 / 1,490 / 1,420 cfs, 2019-04-28 to 2019-05-07, all code </w:t>
            </w:r>
            <w:r>
              <w:rPr>
                <w:rFonts w:ascii="Courier New" w:cs="Courier New" w:eastAsia="Courier New" w:hAnsi="Courier New"/>
              </w:rPr>
              <w:t xml:space="preserve">A</w:t>
            </w:r>
          </w:p>
        </w:tc>
        <w:tc>
          <w:tcPr>
            <w:tcW w:type="dxa" w:w="1500"/>
          </w:tcPr>
          <w:p>
            <w:r>
              <w:t xml:space="preserve">USGS NWIS Daily Values Service, same site and parameters (</w:t>
            </w:r>
            <w:hyperlink w:history="1" r:id="rIdfadtksgnjfpszdy50agwk">
              <w:r>
                <w:rPr>
                  <w:rStyle w:val="Hyperlink"/>
                </w:rPr>
                <w:t xml:space="preserve">link</w:t>
              </w:r>
            </w:hyperlink>
            <w:r>
              <w:t xml:space="preserve">)</w:t>
            </w:r>
          </w:p>
        </w:tc>
        <w:tc>
          <w:tcPr>
            <w:tcW w:type="dxa" w:w="1500"/>
          </w:tcPr>
          <w:p>
            <w:r>
              <w:t xml:space="preserve">2026-08-12</w:t>
            </w:r>
          </w:p>
        </w:tc>
        <w:tc>
          <w:tcPr>
            <w:tcW w:type="dxa" w:w="1500"/>
          </w:tcPr>
          <w:p>
            <w:r>
              <w:t xml:space="preserve">HIGH</w:t>
            </w:r>
          </w:p>
        </w:tc>
      </w:tr>
      <w:tr>
        <w:tc>
          <w:tcPr>
            <w:tcW w:type="dxa" w:w="1500"/>
          </w:tcPr>
          <w:p>
            <w:r>
              <w:t xml:space="preserve">S4</w:t>
            </w:r>
          </w:p>
        </w:tc>
        <w:tc>
          <w:tcPr>
            <w:tcW w:type="dxa" w:w="1500"/>
          </w:tcPr>
          <w:p>
            <w:r>
              <w:t xml:space="preserve">NWS flood-category stages for this gage</w:t>
            </w:r>
          </w:p>
        </w:tc>
        <w:tc>
          <w:tcPr>
            <w:tcW w:type="dxa" w:w="1500"/>
          </w:tcPr>
          <w:p>
            <w:r>
              <w:t xml:space="preserve">minor 21.5 ft; action 20.0 ft; moderate and major undefined</w:t>
            </w:r>
          </w:p>
        </w:tc>
        <w:tc>
          <w:tcPr>
            <w:tcW w:type="dxa" w:w="1500"/>
          </w:tcPr>
          <w:p>
            <w:r>
              <w:t xml:space="preserve">NOAA National Weather Service, National Water Prediction Service, gauge OQUI2 (</w:t>
            </w:r>
            <w:hyperlink w:history="1" r:id="rIdp62kyzs8t2qgzvpirjhdb">
              <w:r>
                <w:rPr>
                  <w:rStyle w:val="Hyperlink"/>
                </w:rPr>
                <w:t xml:space="preserve">link</w:t>
              </w:r>
            </w:hyperlink>
            <w:r>
              <w:t xml:space="preserve">)</w:t>
            </w:r>
          </w:p>
        </w:tc>
        <w:tc>
          <w:tcPr>
            <w:tcW w:type="dxa" w:w="1500"/>
          </w:tcPr>
          <w:p>
            <w:r>
              <w:t xml:space="preserve">2026-08-12</w:t>
            </w:r>
          </w:p>
        </w:tc>
        <w:tc>
          <w:tcPr>
            <w:tcW w:type="dxa" w:w="1500"/>
          </w:tcPr>
          <w:p>
            <w:r>
              <w:t xml:space="preserve">HIGH</w:t>
            </w:r>
          </w:p>
        </w:tc>
      </w:tr>
      <w:tr>
        <w:tc>
          <w:tcPr>
            <w:tcW w:type="dxa" w:w="1500"/>
          </w:tcPr>
          <w:p>
            <w:r>
              <w:t xml:space="preserve">S5</w:t>
            </w:r>
          </w:p>
        </w:tc>
        <w:tc>
          <w:tcPr>
            <w:tcW w:type="dxa" w:w="1500"/>
          </w:tcPr>
          <w:p>
            <w:r>
              <w:t xml:space="preserve">Stage-discharge rating for site 05469000</w:t>
            </w:r>
          </w:p>
        </w:tc>
        <w:tc>
          <w:tcPr>
            <w:tcW w:type="dxa" w:w="1500"/>
          </w:tcPr>
          <w:p>
            <w:r>
              <w:t xml:space="preserve">rating 31.0: 21.50 ft = 1,933.91 cfs; 26.00 ft = 5,927.22 cfs (full excerpt in Appendix B)</w:t>
            </w:r>
          </w:p>
        </w:tc>
        <w:tc>
          <w:tcPr>
            <w:tcW w:type="dxa" w:w="1500"/>
          </w:tcPr>
          <w:p>
            <w:r>
              <w:t xml:space="preserve">USGS NWISWeb expanded rating table (</w:t>
            </w:r>
            <w:r>
              <w:rPr>
                <w:rFonts w:ascii="Courier New" w:cs="Courier New" w:eastAsia="Courier New" w:hAnsi="Courier New"/>
              </w:rPr>
              <w:t xml:space="preserve">exsa</w:t>
            </w:r>
            <w:r>
              <w:t xml:space="preserve">), site 05469000, rating retrieved 2026-07-02 (</w:t>
            </w:r>
            <w:hyperlink w:history="1" r:id="rId3pvjsudkzt0aux4lqydwi">
              <w:r>
                <w:rPr>
                  <w:rStyle w:val="Hyperlink"/>
                </w:rPr>
                <w:t xml:space="preserve">link</w:t>
              </w:r>
            </w:hyperlink>
            <w:r>
              <w:t xml:space="preserve">)</w:t>
            </w:r>
          </w:p>
        </w:tc>
        <w:tc>
          <w:tcPr>
            <w:tcW w:type="dxa" w:w="1500"/>
          </w:tcPr>
          <w:p>
            <w:r>
              <w:t xml:space="preserve">2026-08-12</w:t>
            </w:r>
          </w:p>
        </w:tc>
        <w:tc>
          <w:tcPr>
            <w:tcW w:type="dxa" w:w="1500"/>
          </w:tcPr>
          <w:p>
            <w:r>
              <w:t xml:space="preserve">HIGH</w:t>
            </w:r>
          </w:p>
        </w:tc>
      </w:tr>
      <w:tr>
        <w:tc>
          <w:tcPr>
            <w:tcW w:type="dxa" w:w="1500"/>
          </w:tcPr>
          <w:p>
            <w:r>
              <w:t xml:space="preserve">S6</w:t>
            </w:r>
          </w:p>
        </w:tc>
        <w:tc>
          <w:tcPr>
            <w:tcW w:type="dxa" w:w="1500"/>
          </w:tcPr>
          <w:p>
            <w:r>
              <w:t xml:space="preserve">Peak-flow frequency quantiles and regulation status</w:t>
            </w:r>
          </w:p>
        </w:tc>
        <w:tc>
          <w:tcPr>
            <w:tcW w:type="dxa" w:w="1500"/>
          </w:tcPr>
          <w:p>
            <w:r>
              <w:t xml:space="preserve">1% AEP 27,800 cfs (full table in Appendix B); </w:t>
            </w:r>
            <w:r>
              <w:rPr>
                <w:rFonts w:ascii="Courier New" w:cs="Courier New" w:eastAsia="Courier New" w:hAnsi="Courier New"/>
              </w:rPr>
              <w:t xml:space="preserve">isRegulated: false</w:t>
            </w:r>
          </w:p>
        </w:tc>
        <w:tc>
          <w:tcPr>
            <w:tcW w:type="dxa" w:w="1500"/>
          </w:tcPr>
          <w:p>
            <w:r>
              <w:t xml:space="preserve">USGS StreamStats GageStats service, station 05469000, peak-flow statistics, date range 1924–2017 (</w:t>
            </w:r>
            <w:hyperlink w:history="1" r:id="rIdujergr9twnare7hrefjgh">
              <w:r>
                <w:rPr>
                  <w:rStyle w:val="Hyperlink"/>
                </w:rPr>
                <w:t xml:space="preserve">link</w:t>
              </w:r>
            </w:hyperlink>
            <w:r>
              <w:t xml:space="preserve">)</w:t>
            </w:r>
          </w:p>
        </w:tc>
        <w:tc>
          <w:tcPr>
            <w:tcW w:type="dxa" w:w="1500"/>
          </w:tcPr>
          <w:p>
            <w:r>
              <w:t xml:space="preserve">2026-08-12</w:t>
            </w:r>
          </w:p>
        </w:tc>
        <w:tc>
          <w:tcPr>
            <w:tcW w:type="dxa" w:w="1500"/>
          </w:tcPr>
          <w:p>
            <w:r>
              <w:t xml:space="preserve">HIGH</w:t>
            </w:r>
          </w:p>
        </w:tc>
      </w:tr>
      <w:tr>
        <w:tc>
          <w:tcPr>
            <w:tcW w:type="dxa" w:w="1500"/>
          </w:tcPr>
          <w:p>
            <w:r>
              <w:t xml:space="preserve">S7</w:t>
            </w:r>
          </w:p>
        </w:tc>
        <w:tc>
          <w:tcPr>
            <w:tcW w:type="dxa" w:w="1500"/>
          </w:tcPr>
          <w:p>
            <w:r>
              <w:t xml:space="preserve">Definition of a cfs-day, and that daily means equal daily volumes in cfs-days</w:t>
            </w:r>
          </w:p>
        </w:tc>
        <w:tc>
          <w:tcPr>
            <w:tcW w:type="dxa" w:w="1500"/>
          </w:tcPr>
          <w:p>
            <w:r>
              <w:t xml:space="preserve">1 cfs-day = 86,400 cubic feet = 1.98347 acre-feet = 646,317 gallons</w:t>
            </w:r>
          </w:p>
        </w:tc>
        <w:tc>
          <w:tcPr>
            <w:tcW w:type="dxa" w:w="1500"/>
          </w:tcPr>
          <w:p>
            <w:r>
              <w:t xml:space="preserve">U.S. Geological Survey, </w:t>
            </w:r>
            <w:r>
              <w:rPr>
                <w:i/>
                <w:iCs/>
              </w:rPr>
              <w:t xml:space="preserve">Water Resources Data — Definition of Terms</w:t>
            </w:r>
            <w:r>
              <w:t xml:space="preserve"> (</w:t>
            </w:r>
            <w:hyperlink w:history="1" r:id="rIdgury8zppfrhws18vb-fo5">
              <w:r>
                <w:rPr>
                  <w:rStyle w:val="Hyperlink"/>
                </w:rPr>
                <w:t xml:space="preserve">link</w:t>
              </w:r>
            </w:hyperlink>
            <w:r>
              <w:t xml:space="preserve">)</w:t>
            </w:r>
          </w:p>
        </w:tc>
        <w:tc>
          <w:tcPr>
            <w:tcW w:type="dxa" w:w="1500"/>
          </w:tcPr>
          <w:p>
            <w:r>
              <w:t xml:space="preserve">2026-08-12</w:t>
            </w:r>
          </w:p>
        </w:tc>
        <w:tc>
          <w:tcPr>
            <w:tcW w:type="dxa" w:w="1500"/>
          </w:tcPr>
          <w:p>
            <w:r>
              <w:t xml:space="preserve">HIGH</w:t>
            </w:r>
          </w:p>
        </w:tc>
      </w:tr>
      <w:tr>
        <w:tc>
          <w:tcPr>
            <w:tcW w:type="dxa" w:w="1500"/>
          </w:tcPr>
          <w:p>
            <w:r>
              <w:t xml:space="preserve">S8</w:t>
            </w:r>
          </w:p>
        </w:tc>
        <w:tc>
          <w:tcPr>
            <w:tcW w:type="dxa" w:w="1500"/>
          </w:tcPr>
          <w:p>
            <w:r>
              <w:t xml:space="preserve">Statutory ceiling on a single watershed structure</w:t>
            </w:r>
          </w:p>
        </w:tc>
        <w:tc>
          <w:tcPr>
            <w:tcW w:type="dxa" w:w="1500"/>
          </w:tcPr>
          <w:p>
            <w:r>
              <w:t xml:space="preserve">no single structure above 12,500 acre-feet of floodwater detention capacity, or 25,000 acre-feet total capacity; watershed or subwatershed not above 250,000 acres</w:t>
            </w:r>
          </w:p>
        </w:tc>
        <w:tc>
          <w:tcPr>
            <w:tcW w:type="dxa" w:w="1500"/>
          </w:tcPr>
          <w:p>
            <w:r>
              <w:t xml:space="preserve">Watershed Protection and Flood Prevention Act, 16 U.S.C. § 1002 (</w:t>
            </w:r>
            <w:hyperlink w:history="1" r:id="rIdbcbul___oqw7gprqhc6v7">
              <w:r>
                <w:rPr>
                  <w:rStyle w:val="Hyperlink"/>
                </w:rPr>
                <w:t xml:space="preserve">link</w:t>
              </w:r>
            </w:hyperlink>
            <w:r>
              <w:t xml:space="preserve">)</w:t>
            </w:r>
          </w:p>
        </w:tc>
        <w:tc>
          <w:tcPr>
            <w:tcW w:type="dxa" w:w="1500"/>
          </w:tcPr>
          <w:p>
            <w:r>
              <w:t xml:space="preserve">2026-08-12</w:t>
            </w:r>
          </w:p>
        </w:tc>
        <w:tc>
          <w:tcPr>
            <w:tcW w:type="dxa" w:w="1500"/>
          </w:tcPr>
          <w:p>
            <w:r>
              <w:t xml:space="preserve">MEDIUM</w:t>
            </w:r>
          </w:p>
        </w:tc>
      </w:tr>
      <w:tr>
        <w:tc>
          <w:tcPr>
            <w:tcW w:type="dxa" w:w="1500"/>
          </w:tcPr>
          <w:p>
            <w:r>
              <w:t xml:space="preserve">S9</w:t>
            </w:r>
          </w:p>
        </w:tc>
        <w:tc>
          <w:tcPr>
            <w:tcW w:type="dxa" w:w="1500"/>
          </w:tcPr>
          <w:p>
            <w:r>
              <w:t xml:space="preserve">Cost of a comparable levee raise</w:t>
            </w:r>
          </w:p>
        </w:tc>
        <w:tc>
          <w:tcPr>
            <w:tcW w:type="dxa" w:w="1500"/>
          </w:tcPr>
          <w:p>
            <w:r>
              <w:t xml:space="preserve">$258 million for an average 5 ft raise, within a 17-mile, $529 million USACE project on the Kansas River</w:t>
            </w:r>
          </w:p>
        </w:tc>
        <w:tc>
          <w:tcPr>
            <w:tcW w:type="dxa" w:w="1500"/>
          </w:tcPr>
          <w:p>
            <w:r>
              <w:t xml:space="preserve">Giles Lambertson, </w:t>
            </w:r>
            <w:r>
              <w:rPr>
                <w:i/>
                <w:iCs/>
              </w:rPr>
              <w:t xml:space="preserve">"USACE Begins Final Stage of $529M, 17-Mile Flood Protection Project in Kansas City,"</w:t>
            </w:r>
            <w:r>
              <w:t xml:space="preserve"> Construction Equipment Guide, 2022-08-31 (</w:t>
            </w:r>
            <w:hyperlink w:history="1" r:id="rIdihs8rui5m7d_modfmsisi">
              <w:r>
                <w:rPr>
                  <w:rStyle w:val="Hyperlink"/>
                </w:rPr>
                <w:t xml:space="preserve">link</w:t>
              </w:r>
            </w:hyperlink>
            <w:r>
              <w:t xml:space="preserve">)</w:t>
            </w:r>
          </w:p>
        </w:tc>
        <w:tc>
          <w:tcPr>
            <w:tcW w:type="dxa" w:w="1500"/>
          </w:tcPr>
          <w:p>
            <w:r>
              <w:t xml:space="preserve">2026-08-12</w:t>
            </w:r>
          </w:p>
        </w:tc>
        <w:tc>
          <w:tcPr>
            <w:tcW w:type="dxa" w:w="1500"/>
          </w:tcPr>
          <w:p>
            <w:r>
              <w:t xml:space="preserve">MEDIUM</w:t>
            </w:r>
          </w:p>
        </w:tc>
      </w:tr>
      <w:tr>
        <w:tc>
          <w:tcPr>
            <w:tcW w:type="dxa" w:w="1500"/>
          </w:tcPr>
          <w:p>
            <w:r>
              <w:t xml:space="preserve">S10</w:t>
            </w:r>
          </w:p>
        </w:tc>
        <w:tc>
          <w:tcPr>
            <w:tcW w:type="dxa" w:w="1500"/>
          </w:tcPr>
          <w:p>
            <w:r>
              <w:t xml:space="preserve">Illinois cropland value per acre</w:t>
            </w:r>
          </w:p>
        </w:tc>
        <w:tc>
          <w:tcPr>
            <w:tcW w:type="dxa" w:w="1500"/>
          </w:tcPr>
          <w:p>
            <w:r>
              <w:t xml:space="preserve">$9,850 per acre, 2025 (up 3.1% from 2024)</w:t>
            </w:r>
          </w:p>
        </w:tc>
        <w:tc>
          <w:tcPr>
            <w:tcW w:type="dxa" w:w="1500"/>
          </w:tcPr>
          <w:p>
            <w:r>
              <w:t xml:space="preserve">USDA National Agricultural Statistics Service, </w:t>
            </w:r>
            <w:r>
              <w:rPr>
                <w:i/>
                <w:iCs/>
              </w:rPr>
              <w:t xml:space="preserve">Land Values 2025 Summary</w:t>
            </w:r>
            <w:r>
              <w:t xml:space="preserve">, August 2025, Cropland Average Value per Acre table (</w:t>
            </w:r>
            <w:hyperlink w:history="1" r:id="rIdk6uga6l2qr5t54tqvzfw2">
              <w:r>
                <w:rPr>
                  <w:rStyle w:val="Hyperlink"/>
                </w:rPr>
                <w:t xml:space="preserve">link</w:t>
              </w:r>
            </w:hyperlink>
            <w:r>
              <w:t xml:space="preserve">)</w:t>
            </w:r>
          </w:p>
        </w:tc>
        <w:tc>
          <w:tcPr>
            <w:tcW w:type="dxa" w:w="1500"/>
          </w:tcPr>
          <w:p>
            <w:r>
              <w:t xml:space="preserve">2026-08-12</w:t>
            </w:r>
          </w:p>
        </w:tc>
        <w:tc>
          <w:tcPr>
            <w:tcW w:type="dxa" w:w="1500"/>
          </w:tcPr>
          <w:p>
            <w:r>
              <w:t xml:space="preserve">MEDIUM</w:t>
            </w:r>
          </w:p>
        </w:tc>
      </w:tr>
    </w:tbl>
    <w:p/>
    <w:p>
      <w:r>
        <w:rPr>
          <w:b/>
          <w:bCs/>
        </w:rPr>
        <w:t xml:space="preserve">Notes on the grades.</w:t>
      </w:r>
      <w:r>
        <w:t xml:space="preserve"> S8 is graded MEDIUM because the text was read from Cornell LII's reproduction of the U.S. Code rather than from </w:t>
      </w:r>
      <w:r>
        <w:rPr>
          <w:rFonts w:ascii="Courier New" w:cs="Courier New" w:eastAsia="Courier New" w:hAnsi="Courier New"/>
        </w:rPr>
        <w:t xml:space="preserve">uscode.house.gov</w:t>
      </w:r>
      <w:r>
        <w:t xml:space="preserve">, which was not independently fetched — the statute itself is not in doubt, the reproduction is what was checked. S9 is graded MEDIUM because it is trade-press reporting of a Corps project rather than a Corps cost estimate, and because the $258 million is attributed to the raising portion of a project that also included floodwall work; it is used only to show that Bid A's scope is the right order of magnitude for the appropriation, never as an input to the board's scoring number. S10 is graded MEDIUM for a different reason: farmland values move every year, so this figure is a snapshot, not a constant (SEE APPENDIX F, MA5).</w:t>
      </w:r>
    </w:p>
    <w:p>
      <w:pPr>
        <w:pStyle w:val="Heading2"/>
        <w:spacing w:after="120" w:before="240"/>
      </w:pPr>
      <w:r>
        <w:t xml:space="preserve">Appendix F — Modeling Assumptions</w:t>
      </w:r>
    </w:p>
    <w:p>
      <w:pPr>
        <w:ind w:left="480"/>
      </w:pPr>
      <w:r>
        <w:t xml:space="preserve">These figures are </w:t>
      </w:r>
      <w:r>
        <w:rPr>
          <w:b/>
          <w:bCs/>
        </w:rPr>
        <w:t xml:space="preserve">not sourced</w:t>
      </w:r>
      <w:r>
        <w:t xml:space="preserve">. They are stated scenario assumptions chosen by the case author, each with a real basis named below. A Hero may challenge any of them in discussion — that is a legitimate move.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DDDDD" w:val="clear"/>
          </w:tcPr>
          <w:p>
            <w:r>
              <w:t xml:space="preserve">#</w:t>
            </w:r>
          </w:p>
        </w:tc>
        <w:tc>
          <w:tcPr>
            <w:tcW w:type="dxa" w:w="1800"/>
            <w:shd w:fill="DDDDDD" w:val="clear"/>
          </w:tcPr>
          <w:p>
            <w:r>
              <w:t xml:space="preserve">Assumption</w:t>
            </w:r>
          </w:p>
        </w:tc>
        <w:tc>
          <w:tcPr>
            <w:tcW w:type="dxa" w:w="1800"/>
            <w:shd w:fill="DDDDDD" w:val="clear"/>
          </w:tcPr>
          <w:p>
            <w:r>
              <w:t xml:space="preserve">Value used</w:t>
            </w:r>
          </w:p>
        </w:tc>
        <w:tc>
          <w:tcPr>
            <w:tcW w:type="dxa" w:w="1800"/>
            <w:shd w:fill="DDDDDD" w:val="clear"/>
          </w:tcPr>
          <w:p>
            <w:r>
              <w:t xml:space="preserve">Basis</w:t>
            </w:r>
          </w:p>
        </w:tc>
        <w:tc>
          <w:tcPr>
            <w:tcW w:type="dxa" w:w="1800"/>
            <w:shd w:fill="DDDDDD" w:val="clear"/>
          </w:tcPr>
          <w:p>
            <w:r>
              <w:t xml:space="preserve">Sensitivity</w:t>
            </w:r>
          </w:p>
        </w:tc>
      </w:tr>
      <w:tr>
        <w:tc>
          <w:tcPr>
            <w:tcW w:type="dxa" w:w="1800"/>
          </w:tcPr>
          <w:p>
            <w:r>
              <w:t xml:space="preserve">MA1</w:t>
            </w:r>
          </w:p>
        </w:tc>
        <w:tc>
          <w:tcPr>
            <w:tcW w:type="dxa" w:w="1800"/>
          </w:tcPr>
          <w:p>
            <w:r>
              <w:t xml:space="preserve">The district's appropriation, and that both bids come in at it</w:t>
            </w:r>
          </w:p>
        </w:tc>
        <w:tc>
          <w:tcPr>
            <w:tcW w:type="dxa" w:w="1800"/>
          </w:tcPr>
          <w:p>
            <w:r>
              <w:rPr>
                <w:b/>
                <w:bCs/>
              </w:rPr>
              <w:t xml:space="preserve">$38,000,000</w:t>
            </w:r>
            <w:r>
              <w:t xml:space="preserve">, both bids</w:t>
            </w:r>
          </w:p>
        </w:tc>
        <w:tc>
          <w:tcPr>
            <w:tcW w:type="dxa" w:w="1800"/>
          </w:tcPr>
          <w:p>
            <w:r>
              <w:t xml:space="preserve">The Marrow Bend Levee District is fictional and has no published budget. The figure is set so that each bid's scope is the right size of job against real unit costs: 2.50 miles of crest raise and armoring at the rate implied by S9 ($258M ÷ 17 mi ÷ 5,280 ft ≈ $2,874 per linear foot, for an average 5 ft raise across a 17-mile Corps program) is about $37.9M; two detention pools flooding roughly 3,100 acres of Illinois cropland at S10's $9,850 per acre is about $30.8M before embankments and outlet works. Public bodies publish a budget and bidders price a scope to it. The </w:t>
            </w:r>
            <w:r>
              <w:rPr>
                <w:b/>
                <w:bCs/>
              </w:rPr>
              <w:t xml:space="preserve">4.50 ft</w:t>
            </w:r>
            <w:r>
              <w:t xml:space="preserve"> in Bid A's scope line is that bid's scope, not a height derived from S9's rate — a small district buying 2.50 miles of work does not get a 17-mile program's unit price, and this case does not claim it does.</w:t>
            </w:r>
          </w:p>
        </w:tc>
        <w:tc>
          <w:tcPr>
            <w:tcW w:type="dxa" w:w="1800"/>
          </w:tcPr>
          <w:p>
            <w:r>
              <w:rPr>
                <w:b/>
                <w:bCs/>
              </w:rPr>
              <w:t xml:space="preserve">None on the recommendation.</w:t>
            </w:r>
            <w:r>
              <w:t xml:space="preserve"> Both options are divided by the same appropriation, so it cancels out of the comparison entirely. Flex it ±50% and satisfy yourself that the margin does not move.</w:t>
            </w:r>
          </w:p>
        </w:tc>
      </w:tr>
      <w:tr>
        <w:tc>
          <w:tcPr>
            <w:tcW w:type="dxa" w:w="1800"/>
          </w:tcPr>
          <w:p>
            <w:r>
              <w:t xml:space="preserve">MA2</w:t>
            </w:r>
          </w:p>
        </w:tc>
        <w:tc>
          <w:tcPr>
            <w:tcW w:type="dxa" w:w="1800"/>
          </w:tcPr>
          <w:p>
            <w:r>
              <w:t xml:space="preserve">Share of authorized detention capacity unavailable when a storm arrives</w:t>
            </w:r>
          </w:p>
        </w:tc>
        <w:tc>
          <w:tcPr>
            <w:tcW w:type="dxa" w:w="1800"/>
          </w:tcPr>
          <w:p>
            <w:r>
              <w:rPr>
                <w:b/>
                <w:bCs/>
              </w:rPr>
              <w:t xml:space="preserve">4.0%</w:t>
            </w:r>
            <w:r>
              <w:t xml:space="preserve"> of 25,000 acre-feet, leaving </w:t>
            </w:r>
            <w:r>
              <w:rPr>
                <w:b/>
                <w:bCs/>
              </w:rPr>
              <w:t xml:space="preserve">24,000 acre-feet</w:t>
            </w:r>
            <w:r>
              <w:t xml:space="preserve"> usable</w:t>
            </w:r>
          </w:p>
        </w:tc>
        <w:tc>
          <w:tcPr>
            <w:tcW w:type="dxa" w:w="1800"/>
          </w:tcPr>
          <w:p>
            <w:r>
              <w:t xml:space="preserve">Detention structures lose capacity to sediment accumulation and may hold an antecedent pool at the onset of an event. These structures do not exist, so no measured figure can exist; 4% is a small, deliberately conservative reservation.</w:t>
            </w:r>
          </w:p>
        </w:tc>
        <w:tc>
          <w:tcPr>
            <w:tcW w:type="dxa" w:w="1800"/>
          </w:tcPr>
          <w:p>
            <w:r>
              <w:rPr>
                <w:b/>
                <w:bCs/>
              </w:rPr>
              <w:t xml:space="preserve">The one genuinely load-bearing assumption in this case.</w:t>
            </w:r>
            <w:r>
              <w:t xml:space="preserve"> Flexed ±50% (2% to 6%) in the case's own sensitivity model: the recommendation does not change and the gap between the two options moves by about two percentage points. Note the ceiling this assumption sits under — 16 U.S.C. 1002 caps the authorized storage at 25,000 acre-feet [S8], so even a perfect 0% reservation cannot buy the Basin Standard more room than that.</w:t>
            </w:r>
          </w:p>
        </w:tc>
      </w:tr>
      <w:tr>
        <w:tc>
          <w:tcPr>
            <w:tcW w:type="dxa" w:w="1800"/>
          </w:tcPr>
          <w:p>
            <w:r>
              <w:t xml:space="preserve">MA3</w:t>
            </w:r>
          </w:p>
        </w:tc>
        <w:tc>
          <w:tcPr>
            <w:tcW w:type="dxa" w:w="1800"/>
          </w:tcPr>
          <w:p>
            <w:r>
              <w:t xml:space="preserve">Time for the detention structures' outlet works to draw a full pool down</w:t>
            </w:r>
          </w:p>
        </w:tc>
        <w:tc>
          <w:tcPr>
            <w:tcW w:type="dxa" w:w="1800"/>
          </w:tcPr>
          <w:p>
            <w:r>
              <w:rPr>
                <w:b/>
                <w:bCs/>
              </w:rPr>
              <w:t xml:space="preserve">10 days</w:t>
            </w:r>
          </w:p>
        </w:tc>
        <w:tc>
          <w:tcPr>
            <w:tcW w:type="dxa" w:w="1800"/>
          </w:tcPr>
          <w:p>
            <w:r>
              <w:t xml:space="preserve">Standard practice sizes a flood-detention outlet to empty the pool within days, not weeks, so the storage is ready for the next event.</w:t>
            </w:r>
          </w:p>
        </w:tc>
        <w:tc>
          <w:tcPr>
            <w:tcW w:type="dxa" w:w="1800"/>
          </w:tcPr>
          <w:p>
            <w:r>
              <w:rPr>
                <w:b/>
                <w:bCs/>
              </w:rPr>
              <w:t xml:space="preserve">None.</w:t>
            </w:r>
            <w:r>
              <w:t xml:space="preserve"> The two real design storms are 64 days apart at the gage, so any drawdown time from 5 to 15 days leaves the storage fully available for the second storm.</w:t>
            </w:r>
          </w:p>
        </w:tc>
      </w:tr>
      <w:tr>
        <w:tc>
          <w:tcPr>
            <w:tcW w:type="dxa" w:w="1800"/>
          </w:tcPr>
          <w:p>
            <w:r>
              <w:t xml:space="preserve">MA4</w:t>
            </w:r>
          </w:p>
        </w:tc>
        <w:tc>
          <w:tcPr>
            <w:tcW w:type="dxa" w:w="1800"/>
          </w:tcPr>
          <w:p>
            <w:r>
              <w:t xml:space="preserve">The sustained-loading threshold used in Appendix F's projection</w:t>
            </w:r>
          </w:p>
        </w:tc>
        <w:tc>
          <w:tcPr>
            <w:tcW w:type="dxa" w:w="1800"/>
          </w:tcPr>
          <w:p>
            <w:r>
              <w:rPr>
                <w:b/>
                <w:bCs/>
              </w:rPr>
              <w:t xml:space="preserve">4 consecutive days</w:t>
            </w:r>
            <w:r>
              <w:t xml:space="preserve"> on which the creek runs above channel capacity — "loading the levee" in the sense Background gives it, not the raised crown's own design discharge</w:t>
            </w:r>
          </w:p>
        </w:tc>
        <w:tc>
          <w:tcPr>
            <w:tcW w:type="dxa" w:w="1800"/>
          </w:tcPr>
          <w:p>
            <w:r>
              <w:t xml:space="preserve">The district's geotechnical report is a scenario device; no real report exists for a fictional reach. Sustained high water driving underseepage beneath an embankment is a real and well-documented levee failure mode.</w:t>
            </w:r>
          </w:p>
        </w:tc>
        <w:tc>
          <w:tcPr>
            <w:tcW w:type="dxa" w:w="1800"/>
          </w:tcPr>
          <w:p>
            <w:r>
              <w:t xml:space="preserve">Does not enter the base recommendation at all — it governs only the sustained-loading question, and nothing in the primary metric reads it.</w:t>
            </w:r>
          </w:p>
        </w:tc>
      </w:tr>
      <w:tr>
        <w:tc>
          <w:tcPr>
            <w:tcW w:type="dxa" w:w="1800"/>
          </w:tcPr>
          <w:p>
            <w:r>
              <w:t xml:space="preserve">MA5</w:t>
            </w:r>
          </w:p>
        </w:tc>
        <w:tc>
          <w:tcPr>
            <w:tcW w:type="dxa" w:w="1800"/>
          </w:tcPr>
          <w:p>
            <w:r>
              <w:t xml:space="preserve">Data cutoff for every still-moving figure</w:t>
            </w:r>
          </w:p>
        </w:tc>
        <w:tc>
          <w:tcPr>
            <w:tcW w:type="dxa" w:w="1800"/>
          </w:tcPr>
          <w:p>
            <w:r>
              <w:rPr>
                <w:b/>
                <w:bCs/>
              </w:rPr>
              <w:t xml:space="preserve">2026-08-12</w:t>
            </w:r>
          </w:p>
        </w:tc>
        <w:tc>
          <w:tcPr>
            <w:tcW w:type="dxa" w:w="1800"/>
          </w:tcPr>
          <w:p>
            <w:r>
              <w:t xml:space="preserve">Illinois cropland values (S10), the USGS rating (S5, rating 31.0 as retrieved 2026-07-02), and the NWS flood-category stages (S4) all change over time. Every one of them is frozen at the date this case was researched, and none is refreshed independently of the others.</w:t>
            </w:r>
          </w:p>
        </w:tc>
        <w:tc>
          <w:tcPr>
            <w:tcW w:type="dxa" w:w="1800"/>
          </w:tcPr>
          <w:p>
            <w:r>
              <w:t xml:space="preserve">None on the arithmetic. It is what makes the case checkable: a future reader can re-fetch each source and see exactly what moved.</w:t>
            </w:r>
          </w:p>
        </w:tc>
      </w:tr>
    </w:tbl>
    <w:p/>
    <w:p>
      <w:r>
        <w:rPr>
          <w:b/>
          <w:bCs/>
        </w:rPr>
        <w:t xml:space="preserve">Two lines this case states rather than measures.</w:t>
      </w:r>
      <w:r>
        <w:t xml:space="preserve"> Neither is in the table above, because neither is an estimate of an unknown quantity — each is a choice, made in the open, that the arithmetic then obeys. Both move the answer further than anything in the table does.</w:t>
      </w:r>
    </w:p>
    <w:p>
      <w:pPr>
        <w:ind w:left="360"/>
      </w:pPr>
      <w:r>
        <w:t xml:space="preserve">1. *</w:t>
      </w:r>
      <w:r>
        <w:rPr>
          <w:i/>
          <w:iCs/>
        </w:rPr>
        <w:t xml:space="preserve">Channel capacity is taken to be the discharge at the National Weather Service's published    </w:t>
      </w:r>
      <w:r>
        <w:t xml:space="preserve">minor</w:t>
      </w:r>
      <w:r>
        <w:rPr>
          <w:i/>
          <w:iCs/>
        </w:rPr>
        <w:t xml:space="preserve"> flood stage</w:t>
      </w:r>
      <w:r>
        <w:t xml:space="preserve">* — 21.50 ft on Appendix B's rating. That is a choice of convention, not a    measurement. Raising it shrinks both storms' floodwater volumes; lowering it grows them — and it    does not grow the two storms' volumes at the same rate, which is something you can check and    should. Every row of Appendix B's rating excerpt is a different convention, and moving one row is    enough to move the recommendation.</w:t>
      </w:r>
    </w:p>
    <w:p>
      <w:pPr>
        <w:ind w:left="360"/>
      </w:pPr>
      <w:r>
        <w:t xml:space="preserve">2. </w:t>
      </w:r>
      <w:r>
        <w:rPr>
          <w:b/>
          <w:bCs/>
        </w:rPr>
        <w:t xml:space="preserve">The height in Bid A's scope line is a bid's scope, not a property of the river.</w:t>
      </w:r>
      <w:r>
        <w:t xml:space="preserve"> It selects    a second row of the same rating, and the discharge in Appendix C is whatever that row says. A    different raise is a different bid, not a corrected number.</w:t>
      </w:r>
    </w:p>
    <w:p>
      <w:r>
        <w:t xml:space="preserve">A Hero who wants to attack the recommendation should attack these two lines first, and should say which row of Appendix B they are standing on when they do.</w:t>
      </w:r>
    </w:p>
    <w:p>
      <w:pPr>
        <w:pStyle w:val="Heading2"/>
        <w:spacing w:after="120" w:before="240"/>
      </w:pPr>
      <w:r>
        <w:t xml:space="preserve">Appendix G — Learn More</w:t>
      </w:r>
    </w:p>
    <w:p>
      <w:r>
        <w:t xml:space="preserve">These are real, freely available resources for going beyond the required math — how streamgages and levees actually work, and where the flood-control law behind Bid B comes from.</w:t>
      </w:r>
    </w:p>
    <w:p>
      <w:pPr>
        <w:ind w:left="360"/>
      </w:pPr>
      <w:r>
        <w:t xml:space="preserve">- </w:t>
      </w:r>
      <w:hyperlink w:history="1" r:id="rIdmh8syebav6umnd-9o_je2">
        <w:r>
          <w:rPr>
            <w:rStyle w:val="Hyperlink"/>
          </w:rPr>
          <w:t xml:space="preserve">USGS Water Science School — How Streamflow is Measured</w:t>
        </w:r>
      </w:hyperlink>
      <w:r>
        <w:t xml:space="preserve"> — the U.S. Geological Survey's own explanation of how a gage like the one on Henderson Creek converts stage (water height) into a discharge reading, the two-step process behind every number in Appendix A.</w:t>
      </w:r>
    </w:p>
    <w:p>
      <w:pPr>
        <w:ind w:left="360"/>
      </w:pPr>
      <w:r>
        <w:t xml:space="preserve">- </w:t>
      </w:r>
      <w:hyperlink w:history="1" r:id="rIdsfqhfxkayum-pjlyrz2pu">
        <w:r>
          <w:rPr>
            <w:rStyle w:val="Hyperlink"/>
          </w:rPr>
          <w:t xml:space="preserve">USGS Water Science School — Floods: Recurrence Intervals and 100-Year Floods</w:t>
        </w:r>
      </w:hyperlink>
      <w:r>
        <w:t xml:space="preserve"> — a plain-language explanation of what an annual exceedance probability (like the 1% and 20% figures in Appendix B) actually means, and why a "100-year flood" is not a flood that happens once a century.</w:t>
      </w:r>
    </w:p>
    <w:p>
      <w:pPr>
        <w:ind w:left="360"/>
      </w:pPr>
      <w:r>
        <w:t xml:space="preserve">- </w:t>
      </w:r>
      <w:hyperlink w:history="1" r:id="rIdkq2gcnx-h8xepmwuug-px">
        <w:r>
          <w:rPr>
            <w:rStyle w:val="Hyperlink"/>
          </w:rPr>
          <w:t xml:space="preserve">Wikipedia — Watershed Protection and Flood Prevention Act</w:t>
        </w:r>
      </w:hyperlink>
      <w:r>
        <w:t xml:space="preserve"> — background on the 1954 federal law (16 U.S.C. § 1002, cited as S8 in Appendix E) that caps the size of small-watershed detention structures like the ones in Bid B.</w:t>
      </w:r>
    </w:p>
    <w:p>
      <w:pPr>
        <w:ind w:left="360"/>
      </w:pPr>
      <w:r>
        <w:t xml:space="preserve">- </w:t>
      </w:r>
      <w:hyperlink w:history="1" r:id="rIdvygjl5elqslvb_mlw1uj5">
        <w:r>
          <w:rPr>
            <w:rStyle w:val="Hyperlink"/>
          </w:rPr>
          <w:t xml:space="preserve">Construction Equipment Guide — USACE Begins Final Stage of $529M, 17-Mile Flood Protection Project in Kansas City</w:t>
        </w:r>
      </w:hyperlink>
      <w:r>
        <w:t xml:space="preserve"> — a news account of the real Army Corps levee-raise project (cited as S9 in Appendix E) that Bid A's cost is benchmarked against, with photos and construction detail beyond the cost figure this case uses.</w:t>
      </w:r>
    </w:p>
    <w:p>
      <w:pPr>
        <w:pStyle w:val="Heading2"/>
        <w:spacing w:after="120" w:before="240"/>
      </w:pPr>
      <w:r>
        <w:t xml:space="preserve">Appendix H — "How To…" Math Questions To Research</w:t>
      </w:r>
    </w:p>
    <w:p>
      <w:r>
        <w:rPr>
          <w:b/>
          <w:bCs/>
        </w:rPr>
        <w:t xml:space="preserve">Vocabulary terms</w:t>
      </w:r>
    </w:p>
    <w:p>
      <w:pPr>
        <w:ind w:left="360"/>
      </w:pPr>
      <w:r>
        <w:t xml:space="preserve">- Antiderivative</w:t>
      </w:r>
    </w:p>
    <w:p>
      <w:pPr>
        <w:ind w:left="360"/>
      </w:pPr>
      <w:r>
        <w:t xml:space="preserve">- Definite Integral</w:t>
      </w:r>
    </w:p>
    <w:p>
      <w:pPr>
        <w:ind w:left="360"/>
      </w:pPr>
      <w:r>
        <w:t xml:space="preserve">- Indefinite Integral</w:t>
      </w:r>
    </w:p>
    <w:p>
      <w:pPr>
        <w:ind w:left="360"/>
      </w:pPr>
      <w:r>
        <w:t xml:space="preserve">- Riemann Sum</w:t>
      </w:r>
    </w:p>
    <w:p>
      <w:pPr>
        <w:ind w:left="360"/>
      </w:pPr>
      <w:r>
        <w:t xml:space="preserve">- Area Between Two Curves</w:t>
      </w:r>
    </w:p>
    <w:p>
      <w:r>
        <w:rPr>
          <w:b/>
          <w:bCs/>
        </w:rPr>
        <w:t xml:space="preserve">"How to…" questions</w:t>
      </w:r>
    </w:p>
    <w:p>
      <w:pPr>
        <w:ind w:left="360"/>
      </w:pPr>
      <w:r>
        <w:t xml:space="preserve">- How to find an antiderivative using the power rule</w:t>
      </w:r>
    </w:p>
    <w:p>
      <w:pPr>
        <w:ind w:left="360"/>
      </w:pPr>
      <w:r>
        <w:t xml:space="preserve">- How to evaluate a definite integral using the Fundamental Theorem of Calculus</w:t>
      </w:r>
    </w:p>
    <w:p>
      <w:pPr>
        <w:ind w:left="360"/>
      </w:pPr>
      <w:r>
        <w:t xml:space="preserve">- How to approximate area under a curve using a Riemann sum</w:t>
      </w:r>
    </w:p>
    <w:p>
      <w:pPr>
        <w:ind w:left="360"/>
      </w:pPr>
      <w:r>
        <w:t xml:space="preserve">- How to find the area between two curves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q8xhlvtxezz7m-mkl5gw" Type="http://schemas.openxmlformats.org/officeDocument/2006/relationships/hyperlink" Target="https://waterservices.usgs.gov/nwis/site/?format=rdb&amp;sites=05469000&amp;siteOutput=expanded" TargetMode="External"/><Relationship Id="rIdivr1jrzgivtuk_h_yblpr" Type="http://schemas.openxmlformats.org/officeDocument/2006/relationships/hyperlink" Target="https://waterservices.usgs.gov/nwis/dv/?format=rdb&amp;sites=05469000&amp;startDT=2019-02-15&amp;endDT=2019-03-08&amp;parameterCd=00060&amp;statCd=00003" TargetMode="External"/><Relationship Id="rIdfadtksgnjfpszdy50agwk" Type="http://schemas.openxmlformats.org/officeDocument/2006/relationships/hyperlink" Target="https://waterservices.usgs.gov/nwis/dv/?format=rdb&amp;sites=05469000&amp;startDT=2019-04-24&amp;endDT=2019-05-14&amp;parameterCd=00060&amp;statCd=00003" TargetMode="External"/><Relationship Id="rIdp62kyzs8t2qgzvpirjhdb" Type="http://schemas.openxmlformats.org/officeDocument/2006/relationships/hyperlink" Target="https://api.water.noaa.gov/nwps/v1/gauges/OQUI2" TargetMode="External"/><Relationship Id="rId3pvjsudkzt0aux4lqydwi" Type="http://schemas.openxmlformats.org/officeDocument/2006/relationships/hyperlink" Target="https://waterdata.usgs.gov/nwisweb/get_ratings/?site_no=05469000&amp;file_type=exsa" TargetMode="External"/><Relationship Id="rIdujergr9twnare7hrefjgh" Type="http://schemas.openxmlformats.org/officeDocument/2006/relationships/hyperlink" Target="https://streamstats.usgs.gov/gagestatsservices/stations/05469000?includeStats=true" TargetMode="External"/><Relationship Id="rIdgury8zppfrhws18vb-fo5" Type="http://schemas.openxmlformats.org/officeDocument/2006/relationships/hyperlink" Target="https://water.usgs.gov/ADR_Defs_2004.pdf" TargetMode="External"/><Relationship Id="rIdbcbul___oqw7gprqhc6v7" Type="http://schemas.openxmlformats.org/officeDocument/2006/relationships/hyperlink" Target="https://www.law.cornell.edu/uscode/text/16/1002" TargetMode="External"/><Relationship Id="rIdihs8rui5m7d_modfmsisi" Type="http://schemas.openxmlformats.org/officeDocument/2006/relationships/hyperlink" Target="https://www.constructionequipmentguide.com/usace-begins-final-stage-of-529m-17-mile-flood-protection-project-in-kansas-city/57707" TargetMode="External"/><Relationship Id="rIdk6uga6l2qr5t54tqvzfw2" Type="http://schemas.openxmlformats.org/officeDocument/2006/relationships/hyperlink" Target="https://www.nass.usda.gov/Publications/Todays_Reports/reports/land0825.pdf" TargetMode="External"/><Relationship Id="rIdmh8syebav6umnd-9o_je2" Type="http://schemas.openxmlformats.org/officeDocument/2006/relationships/hyperlink" Target="https://www.usgs.gov/special-topics/water-science-school/science/how-streamflow-measured" TargetMode="External"/><Relationship Id="rIdsfqhfxkayum-pjlyrz2pu" Type="http://schemas.openxmlformats.org/officeDocument/2006/relationships/hyperlink" Target="https://www.usgs.gov/special-topics/water-science-school/science/floods-and-recurrence-intervals" TargetMode="External"/><Relationship Id="rIdkq2gcnx-h8xepmwuug-px" Type="http://schemas.openxmlformats.org/officeDocument/2006/relationships/hyperlink" Target="https://en.wikipedia.org/wiki/Watershed_Protection_and_Flood_Prevention_Act" TargetMode="External"/><Relationship Id="rIdvygjl5elqslvb_mlw1uj5" Type="http://schemas.openxmlformats.org/officeDocument/2006/relationships/hyperlink" Target="https://www.constructionequipmentguide.com/usace-begins-final-stage-of-529m-17-mile-flood-protection-project-in-kansas-city/57707"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2026-08-18T07:42:42.746Z</dcterms:created>
  <dcterms:modified xsi:type="dcterms:W3CDTF">2026-08-18T07:42:42.747Z</dcterms:modified>
</cp:coreProperties>
</file>

<file path=docProps/custom.xml><?xml version="1.0" encoding="utf-8"?>
<Properties xmlns="http://schemas.openxmlformats.org/officeDocument/2006/custom-properties" xmlns:vt="http://schemas.openxmlformats.org/officeDocument/2006/docPropsVTypes"/>
</file>