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Wind Triangle</w:t>
      </w:r>
    </w:p>
    <w:p>
      <w:pPr>
        <w:spacing w:after="240"/>
        <w:jc w:val="center"/>
      </w:pPr>
      <w:r>
        <w:rPr>
          <w:i/>
          <w:iCs/>
          <w:sz w:val="22"/>
          <w:szCs w:val="22"/>
        </w:rPr>
        <w:t xml:space="preserve">MS | Math | Case Study | 2026 | Launchpad</w:t>
      </w:r>
    </w:p>
    <w:p>
      <w:pPr>
        <w:pStyle w:val="Heading2"/>
        <w:spacing w:after="120" w:before="240"/>
      </w:pPr>
      <w:r>
        <w:t xml:space="preserve">Overview</w:t>
      </w:r>
    </w:p>
    <w:p>
      <w:r>
        <w:t xml:space="preserve">The plotter on Reza Haddad's second monitor finishes drawing the jet stream across the middle of the country, and it lands exactly where he did not want it. The coffee beside his keyboard has gone cold. Somewhere behind him on the dispatch floor a colleague laughs at something on a phone. Nobody else in the room is looking at his screen.</w:t>
      </w:r>
    </w:p>
    <w:p>
      <w:r>
        <w:t xml:space="preserve">Meridian 412 pushes back within the hour, and the release cannot go until it carries his certificate number. Not the captain's. His. If that airplane rolls out at the far end with less fuel in the tanks than the rules required him to plan for, the letter comes to his desk, and it comes with his name on it.</w:t>
      </w:r>
    </w:p>
    <w:p>
      <w:r>
        <w:t xml:space="preserve">He has two flight plans open side by side. One is the route the schedulers assume he will file — the straight one, the one that looks shortest on the map, the one that runs directly into the ribbon of wind now glowing across his display. The other bends south, adds miles he will have to justify to somebody, and slides underneath the worst of it.</w:t>
      </w:r>
    </w:p>
    <w:p>
      <w:r>
        <w:t xml:space="preserve">The forecast is a forecast. It is the best product the government publishes, and it is still, in the end, a statement about air that has not happened yet.</w:t>
      </w:r>
    </w:p>
    <w:p>
      <w:r>
        <w:t xml:space="preserve">The captain's name appears in the crew chat: </w:t>
      </w:r>
      <w:r>
        <w:rPr>
          <w:i/>
          <w:iCs/>
        </w:rPr>
        <w:t xml:space="preserve">Anything I should know before I sign?</w:t>
      </w:r>
    </w:p>
    <w:p>
      <w:r>
        <w:t xml:space="preserve">Reza drags the two plans onto one screen and looks at them together for the first time.</w:t>
      </w:r>
    </w:p>
    <w:p>
      <w:pPr>
        <w:pStyle w:val="Heading2"/>
        <w:spacing w:after="120" w:before="240"/>
      </w:pPr>
      <w:r>
        <w:t xml:space="preserve">Background</w:t>
      </w:r>
    </w:p>
    <w:p>
      <w:r>
        <w:t xml:space="preserve">Reza Haddad is a certificated aircraft dispatcher on the domestic desk at Meridian Air. Under the rules his airline flies by, he and the captain share responsibility for the flight: the captain commands the aircraft, but the dispatcher signs the release, chooses the route, and computes the fuel load, and neither of them may depart without the other's agreement. The fuel figure on the release is Reza's professional judgment, filed under his own certificate.</w:t>
      </w:r>
    </w:p>
    <w:p>
      <w:r>
        <w:t xml:space="preserve">Meridian 412 is a scheduled transcontinental service from New York Kennedy to San Francisco, flown westbound in the morning against the prevailing upper-level flow. Two routings are on Reza's screen (SEE APPENDIX A).</w:t>
      </w:r>
    </w:p>
    <w:p>
      <w:r>
        <w:rPr>
          <w:b/>
          <w:bCs/>
        </w:rPr>
        <w:t xml:space="preserve">The Great Circle</w:t>
      </w:r>
      <w:r>
        <w:t xml:space="preserve"> follows the short northern track — within a couple of nautical miles of the shortest distance between the two airports across the curved surface of the earth — and passes through the forecast core of the jet stream (SEE APPENDIX B).</w:t>
      </w:r>
    </w:p>
    <w:p>
      <w:r>
        <w:rPr>
          <w:b/>
          <w:bCs/>
        </w:rPr>
        <w:t xml:space="preserve">The Southern Swing</w:t>
      </w:r>
      <w:r>
        <w:t xml:space="preserve"> bends the routing south of the forecast jet core. It is a longer track over the ground, but the upper-level wind along it is forecast to be far weaker (SEE APPENDIX B).</w:t>
      </w:r>
    </w:p>
    <w:p>
      <w:r>
        <w:t xml:space="preserve">Both routings are flown by the same aircraft, at the same cruise altitude, at the same true airspeed and the same cruise fuel flow (SEE APPENDIX C) — so the two options differ in exactly two things: how far the aircraft flies through the air, and how hard the air pushes back.</w:t>
      </w:r>
    </w:p>
    <w:p>
      <w:r>
        <w:t xml:space="preserve">Two hard constraints apply to either choice. First, the regulations set a minimum dispatch fuel load: enough to fly to the destination, then to the most distant filed alternate, then for a fixed additional period at normal cruising fuel consumption (SEE APPENDIX C). Reza has to compute that figure for whichever routing he files, and put it on the release. Second, the fuel Meridian buys is a real cost per gallon, and the difference between two routings is money the airline actually spends or actually keeps, on every departure, all year (SEE APPENDIX D).</w:t>
      </w:r>
    </w:p>
    <w:p>
      <w:r>
        <w:t xml:space="preserve">The wind data Reza is planning against is a published forecast for a stated date and valid period, not a measurement of the flight itself, and Meridian's system pulls the whole corridor's worth of stations whether a given routing uses them or not (SEE APPENDIX B). Where a figure in this case is not a matter of public record, it is stated as an explicit modeling assumption (SEE APPENDIX E) rather than guessed, and every sourced figure is listed in (SEE APPENDIX F). The vocabulary and the "how to…" skills this case will ask of you are listed in </w:t>
      </w:r>
      <w:r>
        <w:rPr>
          <w:b/>
          <w:bCs/>
        </w:rPr>
        <w:t xml:space="preserve">APPENDIX H</w:t>
      </w:r>
      <w:r>
        <w:t xml:space="preserve"> — that is where Challenge 1 sends you. Curious about the real dispatcher's job, the jet stream itself, or the aircraft in this case beyond what the Dilemma requires? SEE APPENDIX G for further reading.</w:t>
      </w:r>
    </w:p>
    <w:p>
      <w:pPr>
        <w:pStyle w:val="Heading2"/>
        <w:spacing w:after="120" w:before="240"/>
      </w:pPr>
      <w:r>
        <w:t xml:space="preserve">Dilemma</w:t>
      </w:r>
    </w:p>
    <w:p>
      <w:r>
        <w:t xml:space="preserve">You are Reza Haddad. Do you: A.) File The Great Circle — the short northern track, straight through the forecast jet core OR B.) File The Southern Swing — the longer southern track that slides under the strongest wind</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wind-vector table covering every waypoint on both routings (SEE APPENDIX B): the wind     at cruise level written first as a magnitude and a direction, and then resolved into east and     north components, with the full conversion shown for at least one entry.     D2. A course unit-vector table covering every leg of both routings (SEE APPENDIX A): each     leg's true course expressed as a unit vector in east and north components, with the     calculation that shows the resulting vector's magnitude is exactly one.     D3. A wind-component table: for every leg, the dot product of that leg's wind vector with that     leg's course unit vector, in knots, under a sign convention you state in writing for headwind     versus tailwind — with the crosswind component reported alongside it.     D4. A wind-triangle diagram and ground-speed table for every leg: the true-airspeed vector,     the wind vector, and the resulting ground vector drawn head to tail and added, with the ground     speed reported as the magnitude of that sum and the diagram labeled to scale. Note the     condition that closes the triangle: the aircraft is flown on whatever heading makes the     resulting ground vector lie </w:t>
      </w:r>
      <w:r>
        <w:rPr>
          <w:b/>
          <w:bCs/>
        </w:rPr>
        <w:t xml:space="preserve">along the leg's course</w:t>
      </w:r>
      <w:r>
        <w:t xml:space="preserve"> — it crabs into the wind rather than     pointing straight down the course line — so the true-airspeed vector is generally not parallel     to the course unit vector from D2.     D5. A trip fuel table for both routings (SEE APPENDICES C AND D) — leg time, leg fuel, route     total, the minimum dispatch fuel required by the reserve rule, and pounds of fuel burned per     nautical mile of net progress toward the destination — plus a break-even calculation: by what     percentage would the forecast headwind component along The Great Circle have to be overstated     for the two routings to cost the same fuel?</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Two Routings</w:t>
      </w:r>
    </w:p>
    <w:p>
      <w:r>
        <w:t xml:space="preserve">Each routing is a chain of published waypoints, each of which is a real airport whose reference position is published by the FAA and served through the Aviation Weather Center's airport data service [S1, S2]. Leg distance is the great-circle distance between consecutive waypoints, computed from those positions on a </w:t>
      </w:r>
      <w:r>
        <w:rPr>
          <w:b/>
          <w:bCs/>
        </w:rPr>
        <w:t xml:space="preserve">spherical earth of radius 3,440.065 nm</w:t>
      </w:r>
      <w:r>
        <w:t xml:space="preserve"> (the figure used throughout this case — a different radius or an ellipsoidal model shifts every distance below by about a tenth of a percent, in the same direction, and changes no comparison). Leg true course is the </w:t>
      </w:r>
      <w:r>
        <w:rPr>
          <w:b/>
          <w:bCs/>
        </w:rPr>
        <w:t xml:space="preserve">initial</w:t>
      </w:r>
      <w:r>
        <w:t xml:space="preserve"> course of the leg, measured clockwise from true north, and it is held constant for the whole leg (SEE APPENDIX E, MA5).</w:t>
      </w:r>
    </w:p>
    <w:p>
      <w:r>
        <w:rPr>
          <w:b/>
          <w:bCs/>
        </w:rPr>
        <w:t xml:space="preserve">Routing A — The Great Circle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DDDDD" w:val="clear"/>
          </w:tcPr>
          <w:p>
            <w:r>
              <w:t xml:space="preserve">Leg</w:t>
            </w:r>
          </w:p>
        </w:tc>
        <w:tc>
          <w:tcPr>
            <w:tcW w:type="dxa" w:w="1285"/>
            <w:shd w:fill="DDDDDD" w:val="clear"/>
          </w:tcPr>
          <w:p>
            <w:r>
              <w:t xml:space="preserve">From</w:t>
            </w:r>
          </w:p>
        </w:tc>
        <w:tc>
          <w:tcPr>
            <w:tcW w:type="dxa" w:w="1285"/>
            <w:shd w:fill="DDDDDD" w:val="clear"/>
          </w:tcPr>
          <w:p>
            <w:r>
              <w:t xml:space="preserve">To</w:t>
            </w:r>
          </w:p>
        </w:tc>
        <w:tc>
          <w:tcPr>
            <w:tcW w:type="dxa" w:w="1285"/>
            <w:shd w:fill="DDDDDD" w:val="clear"/>
          </w:tcPr>
          <w:p>
            <w:r>
              <w:t xml:space="preserve">From position</w:t>
            </w:r>
          </w:p>
        </w:tc>
        <w:tc>
          <w:tcPr>
            <w:tcW w:type="dxa" w:w="1285"/>
            <w:shd w:fill="DDDDDD" w:val="clear"/>
          </w:tcPr>
          <w:p>
            <w:r>
              <w:t xml:space="preserve">To position</w:t>
            </w:r>
          </w:p>
        </w:tc>
        <w:tc>
          <w:tcPr>
            <w:tcW w:type="dxa" w:w="1285"/>
            <w:shd w:fill="DDDDDD" w:val="clear"/>
          </w:tcPr>
          <w:p>
            <w:r>
              <w:t xml:space="preserve">Leg great-circle distance (nm)</w:t>
            </w:r>
          </w:p>
        </w:tc>
        <w:tc>
          <w:tcPr>
            <w:tcW w:type="dxa" w:w="1285"/>
            <w:shd w:fill="DDDDDD" w:val="clear"/>
          </w:tcPr>
          <w:p>
            <w:r>
              <w:t xml:space="preserve">Leg initial true course (°)</w:t>
            </w:r>
          </w:p>
        </w:tc>
      </w:tr>
      <w:tr>
        <w:tc>
          <w:tcPr>
            <w:tcW w:type="dxa" w:w="1285"/>
          </w:tcPr>
          <w:p>
            <w:r>
              <w:t xml:space="preserve">A1</w:t>
            </w:r>
          </w:p>
        </w:tc>
        <w:tc>
          <w:tcPr>
            <w:tcW w:type="dxa" w:w="1285"/>
          </w:tcPr>
          <w:p>
            <w:r>
              <w:t xml:space="preserve">KJFK — New York/John F Kennedy Intl [S1]</w:t>
            </w:r>
          </w:p>
        </w:tc>
        <w:tc>
          <w:tcPr>
            <w:tcW w:type="dxa" w:w="1285"/>
          </w:tcPr>
          <w:p>
            <w:r>
              <w:t xml:space="preserve">KDBQ — Dubuque Rgnl [S2]</w:t>
            </w:r>
          </w:p>
        </w:tc>
        <w:tc>
          <w:tcPr>
            <w:tcW w:type="dxa" w:w="1285"/>
          </w:tcPr>
          <w:p>
            <w:r>
              <w:t xml:space="preserve">40.6399° N, 73.7787° W [S1]</w:t>
            </w:r>
          </w:p>
        </w:tc>
        <w:tc>
          <w:tcPr>
            <w:tcW w:type="dxa" w:w="1285"/>
          </w:tcPr>
          <w:p>
            <w:r>
              <w:t xml:space="preserve">42.4020° N, 90.7095° W [S2]</w:t>
            </w:r>
          </w:p>
        </w:tc>
        <w:tc>
          <w:tcPr>
            <w:tcW w:type="dxa" w:w="1285"/>
          </w:tcPr>
          <w:p>
            <w:r>
              <w:t xml:space="preserve">767.1</w:t>
            </w:r>
          </w:p>
        </w:tc>
        <w:tc>
          <w:tcPr>
            <w:tcW w:type="dxa" w:w="1285"/>
          </w:tcPr>
          <w:p>
            <w:r>
              <w:t xml:space="preserve">283.5</w:t>
            </w:r>
          </w:p>
        </w:tc>
      </w:tr>
      <w:tr>
        <w:tc>
          <w:tcPr>
            <w:tcW w:type="dxa" w:w="1285"/>
          </w:tcPr>
          <w:p>
            <w:r>
              <w:t xml:space="preserve">A2</w:t>
            </w:r>
          </w:p>
        </w:tc>
        <w:tc>
          <w:tcPr>
            <w:tcW w:type="dxa" w:w="1285"/>
          </w:tcPr>
          <w:p>
            <w:r>
              <w:t xml:space="preserve">KDBQ — Dubuque Rgnl [S2]</w:t>
            </w:r>
          </w:p>
        </w:tc>
        <w:tc>
          <w:tcPr>
            <w:tcW w:type="dxa" w:w="1285"/>
          </w:tcPr>
          <w:p>
            <w:r>
              <w:t xml:space="preserve">KSLC — Salt Lake City Intl [S2]</w:t>
            </w:r>
          </w:p>
        </w:tc>
        <w:tc>
          <w:tcPr>
            <w:tcW w:type="dxa" w:w="1285"/>
          </w:tcPr>
          <w:p>
            <w:r>
              <w:t xml:space="preserve">42.4020° N, 90.7095° W [S2]</w:t>
            </w:r>
          </w:p>
        </w:tc>
        <w:tc>
          <w:tcPr>
            <w:tcW w:type="dxa" w:w="1285"/>
          </w:tcPr>
          <w:p>
            <w:r>
              <w:t xml:space="preserve">40.7884° N, 111.9778° W [S2]</w:t>
            </w:r>
          </w:p>
        </w:tc>
        <w:tc>
          <w:tcPr>
            <w:tcW w:type="dxa" w:w="1285"/>
          </w:tcPr>
          <w:p>
            <w:r>
              <w:t xml:space="preserve">957.4</w:t>
            </w:r>
          </w:p>
        </w:tc>
        <w:tc>
          <w:tcPr>
            <w:tcW w:type="dxa" w:w="1285"/>
          </w:tcPr>
          <w:p>
            <w:r>
              <w:t xml:space="preserve">271.4</w:t>
            </w:r>
          </w:p>
        </w:tc>
      </w:tr>
      <w:tr>
        <w:tc>
          <w:tcPr>
            <w:tcW w:type="dxa" w:w="1285"/>
          </w:tcPr>
          <w:p>
            <w:r>
              <w:t xml:space="preserve">A3</w:t>
            </w:r>
          </w:p>
        </w:tc>
        <w:tc>
          <w:tcPr>
            <w:tcW w:type="dxa" w:w="1285"/>
          </w:tcPr>
          <w:p>
            <w:r>
              <w:t xml:space="preserve">KSLC — Salt Lake City Intl [S2]</w:t>
            </w:r>
          </w:p>
        </w:tc>
        <w:tc>
          <w:tcPr>
            <w:tcW w:type="dxa" w:w="1285"/>
          </w:tcPr>
          <w:p>
            <w:r>
              <w:t xml:space="preserve">KSFO — San Francisco Intl [S2]</w:t>
            </w:r>
          </w:p>
        </w:tc>
        <w:tc>
          <w:tcPr>
            <w:tcW w:type="dxa" w:w="1285"/>
          </w:tcPr>
          <w:p>
            <w:r>
              <w:t xml:space="preserve">40.7884° N, 111.9778° W [S2]</w:t>
            </w:r>
          </w:p>
        </w:tc>
        <w:tc>
          <w:tcPr>
            <w:tcW w:type="dxa" w:w="1285"/>
          </w:tcPr>
          <w:p>
            <w:r>
              <w:t xml:space="preserve">37.6188° N, 122.3754° W [S2]</w:t>
            </w:r>
          </w:p>
        </w:tc>
        <w:tc>
          <w:tcPr>
            <w:tcW w:type="dxa" w:w="1285"/>
          </w:tcPr>
          <w:p>
            <w:r>
              <w:t xml:space="preserve">519.4</w:t>
            </w:r>
          </w:p>
        </w:tc>
        <w:tc>
          <w:tcPr>
            <w:tcW w:type="dxa" w:w="1285"/>
          </w:tcPr>
          <w:p>
            <w:r>
              <w:t xml:space="preserve">251.9</w:t>
            </w:r>
          </w:p>
        </w:tc>
      </w:tr>
    </w:tbl>
    <w:p/>
    <w:p>
      <w:r>
        <w:t xml:space="preserve">Routing A total great-circle track: </w:t>
      </w:r>
      <w:r>
        <w:rPr>
          <w:b/>
          <w:bCs/>
        </w:rPr>
        <w:t xml:space="preserve">2,243.9 nm</w:t>
      </w:r>
      <w:r>
        <w:t xml:space="preserve">. Filed track miles after the airway-structure allowance (SEE APPENDIX E, MA2): </w:t>
      </w:r>
      <w:r>
        <w:rPr>
          <w:b/>
          <w:bCs/>
        </w:rPr>
        <w:t xml:space="preserve">2,266.3 nm</w:t>
      </w:r>
      <w:r>
        <w:t xml:space="preserve">.</w:t>
      </w:r>
    </w:p>
    <w:p>
      <w:r>
        <w:rPr>
          <w:b/>
          <w:bCs/>
        </w:rPr>
        <w:t xml:space="preserve">Routing B — The Southern Swing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DDDDD" w:val="clear"/>
          </w:tcPr>
          <w:p>
            <w:r>
              <w:t xml:space="preserve">Leg</w:t>
            </w:r>
          </w:p>
        </w:tc>
        <w:tc>
          <w:tcPr>
            <w:tcW w:type="dxa" w:w="1285"/>
            <w:shd w:fill="DDDDDD" w:val="clear"/>
          </w:tcPr>
          <w:p>
            <w:r>
              <w:t xml:space="preserve">From</w:t>
            </w:r>
          </w:p>
        </w:tc>
        <w:tc>
          <w:tcPr>
            <w:tcW w:type="dxa" w:w="1285"/>
            <w:shd w:fill="DDDDDD" w:val="clear"/>
          </w:tcPr>
          <w:p>
            <w:r>
              <w:t xml:space="preserve">To</w:t>
            </w:r>
          </w:p>
        </w:tc>
        <w:tc>
          <w:tcPr>
            <w:tcW w:type="dxa" w:w="1285"/>
            <w:shd w:fill="DDDDDD" w:val="clear"/>
          </w:tcPr>
          <w:p>
            <w:r>
              <w:t xml:space="preserve">From position</w:t>
            </w:r>
          </w:p>
        </w:tc>
        <w:tc>
          <w:tcPr>
            <w:tcW w:type="dxa" w:w="1285"/>
            <w:shd w:fill="DDDDDD" w:val="clear"/>
          </w:tcPr>
          <w:p>
            <w:r>
              <w:t xml:space="preserve">To position</w:t>
            </w:r>
          </w:p>
        </w:tc>
        <w:tc>
          <w:tcPr>
            <w:tcW w:type="dxa" w:w="1285"/>
            <w:shd w:fill="DDDDDD" w:val="clear"/>
          </w:tcPr>
          <w:p>
            <w:r>
              <w:t xml:space="preserve">Leg great-circle distance (nm)</w:t>
            </w:r>
          </w:p>
        </w:tc>
        <w:tc>
          <w:tcPr>
            <w:tcW w:type="dxa" w:w="1285"/>
            <w:shd w:fill="DDDDDD" w:val="clear"/>
          </w:tcPr>
          <w:p>
            <w:r>
              <w:t xml:space="preserve">Leg initial true course (°)</w:t>
            </w:r>
          </w:p>
        </w:tc>
      </w:tr>
      <w:tr>
        <w:tc>
          <w:tcPr>
            <w:tcW w:type="dxa" w:w="1285"/>
          </w:tcPr>
          <w:p>
            <w:r>
              <w:t xml:space="preserve">B1</w:t>
            </w:r>
          </w:p>
        </w:tc>
        <w:tc>
          <w:tcPr>
            <w:tcW w:type="dxa" w:w="1285"/>
          </w:tcPr>
          <w:p>
            <w:r>
              <w:t xml:space="preserve">KJFK — New York/John F Kennedy Intl [S1]</w:t>
            </w:r>
          </w:p>
        </w:tc>
        <w:tc>
          <w:tcPr>
            <w:tcW w:type="dxa" w:w="1285"/>
          </w:tcPr>
          <w:p>
            <w:r>
              <w:t xml:space="preserve">KSGF — Springfield-Branson Ntl [S2]</w:t>
            </w:r>
          </w:p>
        </w:tc>
        <w:tc>
          <w:tcPr>
            <w:tcW w:type="dxa" w:w="1285"/>
          </w:tcPr>
          <w:p>
            <w:r>
              <w:t xml:space="preserve">40.6399° N, 73.7787° W [S1]</w:t>
            </w:r>
          </w:p>
        </w:tc>
        <w:tc>
          <w:tcPr>
            <w:tcW w:type="dxa" w:w="1285"/>
          </w:tcPr>
          <w:p>
            <w:r>
              <w:t xml:space="preserve">37.2457° N, 93.3886° W [S2]</w:t>
            </w:r>
          </w:p>
        </w:tc>
        <w:tc>
          <w:tcPr>
            <w:tcW w:type="dxa" w:w="1285"/>
          </w:tcPr>
          <w:p>
            <w:r>
              <w:t xml:space="preserve">936.0</w:t>
            </w:r>
          </w:p>
        </w:tc>
        <w:tc>
          <w:tcPr>
            <w:tcW w:type="dxa" w:w="1285"/>
          </w:tcPr>
          <w:p>
            <w:r>
              <w:t xml:space="preserve">263.8</w:t>
            </w:r>
          </w:p>
        </w:tc>
      </w:tr>
      <w:tr>
        <w:tc>
          <w:tcPr>
            <w:tcW w:type="dxa" w:w="1285"/>
          </w:tcPr>
          <w:p>
            <w:r>
              <w:t xml:space="preserve">B2</w:t>
            </w:r>
          </w:p>
        </w:tc>
        <w:tc>
          <w:tcPr>
            <w:tcW w:type="dxa" w:w="1285"/>
          </w:tcPr>
          <w:p>
            <w:r>
              <w:t xml:space="preserve">KSGF — Springfield-Branson Ntl [S2]</w:t>
            </w:r>
          </w:p>
        </w:tc>
        <w:tc>
          <w:tcPr>
            <w:tcW w:type="dxa" w:w="1285"/>
          </w:tcPr>
          <w:p>
            <w:r>
              <w:t xml:space="preserve">KABQ — Albuquerque Intl Sunport [S1]</w:t>
            </w:r>
          </w:p>
        </w:tc>
        <w:tc>
          <w:tcPr>
            <w:tcW w:type="dxa" w:w="1285"/>
          </w:tcPr>
          <w:p>
            <w:r>
              <w:t xml:space="preserve">37.2457° N, 93.3886° W [S2]</w:t>
            </w:r>
          </w:p>
        </w:tc>
        <w:tc>
          <w:tcPr>
            <w:tcW w:type="dxa" w:w="1285"/>
          </w:tcPr>
          <w:p>
            <w:r>
              <w:t xml:space="preserve">35.0389° N, 106.6083° W [S1]</w:t>
            </w:r>
          </w:p>
        </w:tc>
        <w:tc>
          <w:tcPr>
            <w:tcW w:type="dxa" w:w="1285"/>
          </w:tcPr>
          <w:p>
            <w:r>
              <w:t xml:space="preserve">653.9</w:t>
            </w:r>
          </w:p>
        </w:tc>
        <w:tc>
          <w:tcPr>
            <w:tcW w:type="dxa" w:w="1285"/>
          </w:tcPr>
          <w:p>
            <w:r>
              <w:t xml:space="preserve">262.3</w:t>
            </w:r>
          </w:p>
        </w:tc>
      </w:tr>
      <w:tr>
        <w:tc>
          <w:tcPr>
            <w:tcW w:type="dxa" w:w="1285"/>
          </w:tcPr>
          <w:p>
            <w:r>
              <w:t xml:space="preserve">B3</w:t>
            </w:r>
          </w:p>
        </w:tc>
        <w:tc>
          <w:tcPr>
            <w:tcW w:type="dxa" w:w="1285"/>
          </w:tcPr>
          <w:p>
            <w:r>
              <w:t xml:space="preserve">KABQ — Albuquerque Intl Sunport [S1]</w:t>
            </w:r>
          </w:p>
        </w:tc>
        <w:tc>
          <w:tcPr>
            <w:tcW w:type="dxa" w:w="1285"/>
          </w:tcPr>
          <w:p>
            <w:r>
              <w:t xml:space="preserve">KSFO — San Francisco Intl [S2]</w:t>
            </w:r>
          </w:p>
        </w:tc>
        <w:tc>
          <w:tcPr>
            <w:tcW w:type="dxa" w:w="1285"/>
          </w:tcPr>
          <w:p>
            <w:r>
              <w:t xml:space="preserve">35.0389° N, 106.6083° W [S1]</w:t>
            </w:r>
          </w:p>
        </w:tc>
        <w:tc>
          <w:tcPr>
            <w:tcW w:type="dxa" w:w="1285"/>
          </w:tcPr>
          <w:p>
            <w:r>
              <w:t xml:space="preserve">37.6188° N, 122.3754° W [S2]</w:t>
            </w:r>
          </w:p>
        </w:tc>
        <w:tc>
          <w:tcPr>
            <w:tcW w:type="dxa" w:w="1285"/>
          </w:tcPr>
          <w:p>
            <w:r>
              <w:t xml:space="preserve">777.2</w:t>
            </w:r>
          </w:p>
        </w:tc>
        <w:tc>
          <w:tcPr>
            <w:tcW w:type="dxa" w:w="1285"/>
          </w:tcPr>
          <w:p>
            <w:r>
              <w:t xml:space="preserve">286.1</w:t>
            </w:r>
          </w:p>
        </w:tc>
      </w:tr>
    </w:tbl>
    <w:p/>
    <w:p>
      <w:r>
        <w:t xml:space="preserve">Routing B total great-circle track: </w:t>
      </w:r>
      <w:r>
        <w:rPr>
          <w:b/>
          <w:bCs/>
        </w:rPr>
        <w:t xml:space="preserve">2,367.2 nm</w:t>
      </w:r>
      <w:r>
        <w:t xml:space="preserve">. Filed track miles after the airway-structure allowance (SEE APPENDIX E, MA2): </w:t>
      </w:r>
      <w:r>
        <w:rPr>
          <w:b/>
          <w:bCs/>
        </w:rPr>
        <w:t xml:space="preserve">2,402.7 nm</w:t>
      </w:r>
      <w:r>
        <w:t xml:space="preserve">. (The leg figures in the tables above are rounded to a tenth of a nautical mile; both totals are computed before rounding, so a hand-added column may differ from the total by a tenth.)</w:t>
      </w:r>
    </w:p>
    <w:p>
      <w:r>
        <w:rPr>
          <w:b/>
          <w:bCs/>
        </w:rPr>
        <w:t xml:space="preserve">Straight-line reference.</w:t>
      </w:r>
      <w:r>
        <w:t xml:space="preserve"> The direct great-circle distance from KJFK to KSFO, ignoring waypoints entirely, is </w:t>
      </w:r>
      <w:r>
        <w:rPr>
          <w:b/>
          <w:bCs/>
        </w:rPr>
        <w:t xml:space="preserve">2,241.8 nm</w:t>
      </w:r>
      <w:r>
        <w:t xml:space="preserve">. This is the figure the "net progress" metric in D5 divides by.</w:t>
      </w:r>
    </w:p>
    <w:p>
      <w:r>
        <w:rPr>
          <w:b/>
          <w:bCs/>
        </w:rPr>
        <w:t xml:space="preserve">Other waypoints in Meridian's corridor file.</w:t>
      </w:r>
      <w:r>
        <w:t xml:space="preserve"> Meridian's flight-planning system carries the published position of every station in the transcontinental corridor, not only the ones a given routing uses. These are also available to Reza: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Waypoint</w:t>
            </w:r>
          </w:p>
        </w:tc>
        <w:tc>
          <w:tcPr>
            <w:tcW w:type="dxa" w:w="4500"/>
            <w:shd w:fill="DDDDDD" w:val="clear"/>
          </w:tcPr>
          <w:p>
            <w:r>
              <w:t xml:space="preserve">Position</w:t>
            </w:r>
          </w:p>
        </w:tc>
      </w:tr>
      <w:tr>
        <w:tc>
          <w:tcPr>
            <w:tcW w:type="dxa" w:w="4500"/>
          </w:tcPr>
          <w:p>
            <w:r>
              <w:t xml:space="preserve">KBUF — Buffalo Niagara Intl [S1]</w:t>
            </w:r>
          </w:p>
        </w:tc>
        <w:tc>
          <w:tcPr>
            <w:tcW w:type="dxa" w:w="4500"/>
          </w:tcPr>
          <w:p>
            <w:r>
              <w:t xml:space="preserve">42.9404° N, 78.7306° W [S1]</w:t>
            </w:r>
          </w:p>
        </w:tc>
      </w:tr>
      <w:tr>
        <w:tc>
          <w:tcPr>
            <w:tcW w:type="dxa" w:w="4500"/>
          </w:tcPr>
          <w:p>
            <w:r>
              <w:t xml:space="preserve">KDEN — Denver Intl [S1]</w:t>
            </w:r>
          </w:p>
        </w:tc>
        <w:tc>
          <w:tcPr>
            <w:tcW w:type="dxa" w:w="4500"/>
          </w:tcPr>
          <w:p>
            <w:r>
              <w:t xml:space="preserve">39.8617° N, 104.6732° W [S1]</w:t>
            </w:r>
          </w:p>
        </w:tc>
      </w:tr>
      <w:tr>
        <w:tc>
          <w:tcPr>
            <w:tcW w:type="dxa" w:w="4500"/>
          </w:tcPr>
          <w:p>
            <w:r>
              <w:t xml:space="preserve">KMEM — Memphis Intl [S2]</w:t>
            </w:r>
          </w:p>
        </w:tc>
        <w:tc>
          <w:tcPr>
            <w:tcW w:type="dxa" w:w="4500"/>
          </w:tcPr>
          <w:p>
            <w:r>
              <w:t xml:space="preserve">35.0424° N, 89.9767° W [S2]</w:t>
            </w:r>
          </w:p>
        </w:tc>
      </w:tr>
      <w:tr>
        <w:tc>
          <w:tcPr>
            <w:tcW w:type="dxa" w:w="4500"/>
          </w:tcPr>
          <w:p>
            <w:r>
              <w:t xml:space="preserve">KLIT — Little Rock/Bill and Hillary Clinton Ntl [S1]</w:t>
            </w:r>
          </w:p>
        </w:tc>
        <w:tc>
          <w:tcPr>
            <w:tcW w:type="dxa" w:w="4500"/>
          </w:tcPr>
          <w:p>
            <w:r>
              <w:t xml:space="preserve">34.7294° N, 92.2248° W [S1]</w:t>
            </w:r>
          </w:p>
        </w:tc>
      </w:tr>
      <w:tr>
        <w:tc>
          <w:tcPr>
            <w:tcW w:type="dxa" w:w="4500"/>
          </w:tcPr>
          <w:p>
            <w:r>
              <w:t xml:space="preserve">KLAX — Los Angeles Intl [S1]</w:t>
            </w:r>
          </w:p>
        </w:tc>
        <w:tc>
          <w:tcPr>
            <w:tcW w:type="dxa" w:w="4500"/>
          </w:tcPr>
          <w:p>
            <w:r>
              <w:t xml:space="preserve">33.9425° N, 118.4080° W [S1]</w:t>
            </w:r>
          </w:p>
        </w:tc>
      </w:tr>
    </w:tbl>
    <w:p/>
    <w:p>
      <w:pPr>
        <w:pStyle w:val="Heading2"/>
        <w:spacing w:after="120" w:before="240"/>
      </w:pPr>
      <w:r>
        <w:t xml:space="preserve">Appendix B — Upper-Level Winds</w:t>
      </w:r>
    </w:p>
    <w:p>
      <w:r>
        <w:t xml:space="preserve">Wind is reported the way meteorology reports it: the direction the wind is blowing </w:t>
      </w:r>
      <w:r>
        <w:rPr>
          <w:b/>
          <w:bCs/>
        </w:rPr>
        <w:t xml:space="preserve">from</w:t>
      </w:r>
      <w:r>
        <w:t xml:space="preserve">, in degrees clockwise from true north, and its speed in knots. A wind "from 300 at 78" is blowing out of the north-west at seventy-eight knots — which is to say the air itself is moving </w:t>
      </w:r>
      <w:r>
        <w:rPr>
          <w:i/>
          <w:iCs/>
        </w:rPr>
        <w:t xml:space="preserve">toward</w:t>
      </w:r>
      <w:r>
        <w:t xml:space="preserve"> 120°.</w:t>
      </w:r>
    </w:p>
    <w:p>
      <w:r>
        <w:t xml:space="preserve">The figures below are taken verbatim from the National Weather Service's Winds and Temperatures Aloft Forecast, product </w:t>
      </w:r>
      <w:r>
        <w:rPr>
          <w:b/>
          <w:bCs/>
        </w:rPr>
        <w:t xml:space="preserve">FBUS33 KWNO / FD3US3</w:t>
      </w:r>
      <w:r>
        <w:t xml:space="preserve">, issued </w:t>
      </w:r>
      <w:r>
        <w:rPr>
          <w:b/>
          <w:bCs/>
        </w:rPr>
        <w:t xml:space="preserve">12 August 2026 at 2001Z</w:t>
      </w:r>
      <w:r>
        <w:t xml:space="preserve">, </w:t>
      </w:r>
      <w:r>
        <w:rPr>
          <w:i/>
          <w:iCs/>
        </w:rPr>
        <w:t xml:space="preserve">data based on 121800Z</w:t>
      </w:r>
      <w:r>
        <w:t xml:space="preserve">, </w:t>
      </w:r>
      <w:r>
        <w:rPr>
          <w:i/>
          <w:iCs/>
        </w:rPr>
        <w:t xml:space="preserve">valid 130600Z, for use 0300–1200Z</w:t>
      </w:r>
      <w:r>
        <w:t xml:space="preserve"> [S3]. The raw coded group is reproduced exactly as the product publishes it, in the 34,000 ft column.</w:t>
      </w:r>
    </w:p>
    <w:p>
      <w:r>
        <w:rPr>
          <w:b/>
          <w:bCs/>
        </w:rPr>
        <w:t xml:space="preserve">How to read the coded group.</w:t>
      </w:r>
      <w:r>
        <w:t xml:space="preserve"> The first two digits are the wind direction in tens of degrees true; the next two are the wind speed in knots; the last two are the temperature in degrees Celsius (negative above 24,000 ft, so the sign is not printed). </w:t>
      </w:r>
      <w:r>
        <w:rPr>
          <w:rFonts w:ascii="Courier New" w:cs="Courier New" w:eastAsia="Courier New" w:hAnsi="Courier New"/>
        </w:rPr>
        <w:t xml:space="preserve">307843</w:t>
      </w:r>
      <w:r>
        <w:t xml:space="preserve"> is therefore a wind from 300° at 78 knots, temperature −43 °C.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Waypoint</w:t>
            </w:r>
          </w:p>
        </w:tc>
        <w:tc>
          <w:tcPr>
            <w:tcW w:type="dxa" w:w="1500"/>
            <w:shd w:fill="DDDDDD" w:val="clear"/>
          </w:tcPr>
          <w:p>
            <w:r>
              <w:t xml:space="preserve">Used by routing</w:t>
            </w:r>
          </w:p>
        </w:tc>
        <w:tc>
          <w:tcPr>
            <w:tcW w:type="dxa" w:w="1500"/>
            <w:shd w:fill="DDDDDD" w:val="clear"/>
          </w:tcPr>
          <w:p>
            <w:r>
              <w:t xml:space="preserve">Raw coded group at 34,000 ft [S3]</w:t>
            </w:r>
          </w:p>
        </w:tc>
        <w:tc>
          <w:tcPr>
            <w:tcW w:type="dxa" w:w="1500"/>
            <w:shd w:fill="DDDDDD" w:val="clear"/>
          </w:tcPr>
          <w:p>
            <w:r>
              <w:t xml:space="preserve">Wind direction (° true, FROM)</w:t>
            </w:r>
          </w:p>
        </w:tc>
        <w:tc>
          <w:tcPr>
            <w:tcW w:type="dxa" w:w="1500"/>
            <w:shd w:fill="DDDDDD" w:val="clear"/>
          </w:tcPr>
          <w:p>
            <w:r>
              <w:t xml:space="preserve">Wind speed (kt)</w:t>
            </w:r>
          </w:p>
        </w:tc>
        <w:tc>
          <w:tcPr>
            <w:tcW w:type="dxa" w:w="1500"/>
            <w:shd w:fill="DDDDDD" w:val="clear"/>
          </w:tcPr>
          <w:p>
            <w:r>
              <w:t xml:space="preserve">Temp (°C)</w:t>
            </w:r>
          </w:p>
        </w:tc>
      </w:tr>
      <w:tr>
        <w:tc>
          <w:tcPr>
            <w:tcW w:type="dxa" w:w="1500"/>
          </w:tcPr>
          <w:p>
            <w:r>
              <w:t xml:space="preserve">KJFK</w:t>
            </w:r>
          </w:p>
        </w:tc>
        <w:tc>
          <w:tcPr>
            <w:tcW w:type="dxa" w:w="1500"/>
          </w:tcPr>
          <w:p>
            <w:r>
              <w:t xml:space="preserve">—</w:t>
            </w:r>
          </w:p>
        </w:tc>
        <w:tc>
          <w:tcPr>
            <w:tcW w:type="dxa" w:w="1500"/>
          </w:tcPr>
          <w:p>
            <w:r>
              <w:rPr>
                <w:rFonts w:ascii="Courier New" w:cs="Courier New" w:eastAsia="Courier New" w:hAnsi="Courier New"/>
              </w:rPr>
              <w:t xml:space="preserve">287047</w:t>
            </w:r>
          </w:p>
        </w:tc>
        <w:tc>
          <w:tcPr>
            <w:tcW w:type="dxa" w:w="1500"/>
          </w:tcPr>
          <w:p>
            <w:r>
              <w:t xml:space="preserve">280</w:t>
            </w:r>
          </w:p>
        </w:tc>
        <w:tc>
          <w:tcPr>
            <w:tcW w:type="dxa" w:w="1500"/>
          </w:tcPr>
          <w:p>
            <w:r>
              <w:t xml:space="preserve">70</w:t>
            </w:r>
          </w:p>
        </w:tc>
        <w:tc>
          <w:tcPr>
            <w:tcW w:type="dxa" w:w="1500"/>
          </w:tcPr>
          <w:p>
            <w:r>
              <w:t xml:space="preserve">−47</w:t>
            </w:r>
          </w:p>
        </w:tc>
      </w:tr>
      <w:tr>
        <w:tc>
          <w:tcPr>
            <w:tcW w:type="dxa" w:w="1500"/>
          </w:tcPr>
          <w:p>
            <w:r>
              <w:t xml:space="preserve">KBUF</w:t>
            </w:r>
          </w:p>
        </w:tc>
        <w:tc>
          <w:tcPr>
            <w:tcW w:type="dxa" w:w="1500"/>
          </w:tcPr>
          <w:p>
            <w:r>
              <w:t xml:space="preserve">—</w:t>
            </w:r>
          </w:p>
        </w:tc>
        <w:tc>
          <w:tcPr>
            <w:tcW w:type="dxa" w:w="1500"/>
          </w:tcPr>
          <w:p>
            <w:r>
              <w:rPr>
                <w:rFonts w:ascii="Courier New" w:cs="Courier New" w:eastAsia="Courier New" w:hAnsi="Courier New"/>
              </w:rPr>
              <w:t xml:space="preserve">317547</w:t>
            </w:r>
          </w:p>
        </w:tc>
        <w:tc>
          <w:tcPr>
            <w:tcW w:type="dxa" w:w="1500"/>
          </w:tcPr>
          <w:p>
            <w:r>
              <w:t xml:space="preserve">310</w:t>
            </w:r>
          </w:p>
        </w:tc>
        <w:tc>
          <w:tcPr>
            <w:tcW w:type="dxa" w:w="1500"/>
          </w:tcPr>
          <w:p>
            <w:r>
              <w:t xml:space="preserve">75</w:t>
            </w:r>
          </w:p>
        </w:tc>
        <w:tc>
          <w:tcPr>
            <w:tcW w:type="dxa" w:w="1500"/>
          </w:tcPr>
          <w:p>
            <w:r>
              <w:t xml:space="preserve">−47</w:t>
            </w:r>
          </w:p>
        </w:tc>
      </w:tr>
      <w:tr>
        <w:tc>
          <w:tcPr>
            <w:tcW w:type="dxa" w:w="1500"/>
          </w:tcPr>
          <w:p>
            <w:r>
              <w:t xml:space="preserve">KDBQ</w:t>
            </w:r>
          </w:p>
        </w:tc>
        <w:tc>
          <w:tcPr>
            <w:tcW w:type="dxa" w:w="1500"/>
          </w:tcPr>
          <w:p>
            <w:r>
              <w:t xml:space="preserve">A</w:t>
            </w:r>
          </w:p>
        </w:tc>
        <w:tc>
          <w:tcPr>
            <w:tcW w:type="dxa" w:w="1500"/>
          </w:tcPr>
          <w:p>
            <w:r>
              <w:rPr>
                <w:rFonts w:ascii="Courier New" w:cs="Courier New" w:eastAsia="Courier New" w:hAnsi="Courier New"/>
              </w:rPr>
              <w:t xml:space="preserve">307843</w:t>
            </w:r>
          </w:p>
        </w:tc>
        <w:tc>
          <w:tcPr>
            <w:tcW w:type="dxa" w:w="1500"/>
          </w:tcPr>
          <w:p>
            <w:r>
              <w:t xml:space="preserve">300</w:t>
            </w:r>
          </w:p>
        </w:tc>
        <w:tc>
          <w:tcPr>
            <w:tcW w:type="dxa" w:w="1500"/>
          </w:tcPr>
          <w:p>
            <w:r>
              <w:t xml:space="preserve">78</w:t>
            </w:r>
          </w:p>
        </w:tc>
        <w:tc>
          <w:tcPr>
            <w:tcW w:type="dxa" w:w="1500"/>
          </w:tcPr>
          <w:p>
            <w:r>
              <w:t xml:space="preserve">−43</w:t>
            </w:r>
          </w:p>
        </w:tc>
      </w:tr>
      <w:tr>
        <w:tc>
          <w:tcPr>
            <w:tcW w:type="dxa" w:w="1500"/>
          </w:tcPr>
          <w:p>
            <w:r>
              <w:t xml:space="preserve">KDEN</w:t>
            </w:r>
          </w:p>
        </w:tc>
        <w:tc>
          <w:tcPr>
            <w:tcW w:type="dxa" w:w="1500"/>
          </w:tcPr>
          <w:p>
            <w:r>
              <w:t xml:space="preserve">—</w:t>
            </w:r>
          </w:p>
        </w:tc>
        <w:tc>
          <w:tcPr>
            <w:tcW w:type="dxa" w:w="1500"/>
          </w:tcPr>
          <w:p>
            <w:r>
              <w:rPr>
                <w:rFonts w:ascii="Courier New" w:cs="Courier New" w:eastAsia="Courier New" w:hAnsi="Courier New"/>
              </w:rPr>
              <w:t xml:space="preserve">211141</w:t>
            </w:r>
          </w:p>
        </w:tc>
        <w:tc>
          <w:tcPr>
            <w:tcW w:type="dxa" w:w="1500"/>
          </w:tcPr>
          <w:p>
            <w:r>
              <w:t xml:space="preserve">210</w:t>
            </w:r>
          </w:p>
        </w:tc>
        <w:tc>
          <w:tcPr>
            <w:tcW w:type="dxa" w:w="1500"/>
          </w:tcPr>
          <w:p>
            <w:r>
              <w:t xml:space="preserve">11</w:t>
            </w:r>
          </w:p>
        </w:tc>
        <w:tc>
          <w:tcPr>
            <w:tcW w:type="dxa" w:w="1500"/>
          </w:tcPr>
          <w:p>
            <w:r>
              <w:t xml:space="preserve">−41</w:t>
            </w:r>
          </w:p>
        </w:tc>
      </w:tr>
      <w:tr>
        <w:tc>
          <w:tcPr>
            <w:tcW w:type="dxa" w:w="1500"/>
          </w:tcPr>
          <w:p>
            <w:r>
              <w:t xml:space="preserve">KSLC</w:t>
            </w:r>
          </w:p>
        </w:tc>
        <w:tc>
          <w:tcPr>
            <w:tcW w:type="dxa" w:w="1500"/>
          </w:tcPr>
          <w:p>
            <w:r>
              <w:t xml:space="preserve">A</w:t>
            </w:r>
          </w:p>
        </w:tc>
        <w:tc>
          <w:tcPr>
            <w:tcW w:type="dxa" w:w="1500"/>
          </w:tcPr>
          <w:p>
            <w:r>
              <w:rPr>
                <w:rFonts w:ascii="Courier New" w:cs="Courier New" w:eastAsia="Courier New" w:hAnsi="Courier New"/>
              </w:rPr>
              <w:t xml:space="preserve">204244</w:t>
            </w:r>
          </w:p>
        </w:tc>
        <w:tc>
          <w:tcPr>
            <w:tcW w:type="dxa" w:w="1500"/>
          </w:tcPr>
          <w:p>
            <w:r>
              <w:t xml:space="preserve">200</w:t>
            </w:r>
          </w:p>
        </w:tc>
        <w:tc>
          <w:tcPr>
            <w:tcW w:type="dxa" w:w="1500"/>
          </w:tcPr>
          <w:p>
            <w:r>
              <w:t xml:space="preserve">42</w:t>
            </w:r>
          </w:p>
        </w:tc>
        <w:tc>
          <w:tcPr>
            <w:tcW w:type="dxa" w:w="1500"/>
          </w:tcPr>
          <w:p>
            <w:r>
              <w:t xml:space="preserve">−44</w:t>
            </w:r>
          </w:p>
        </w:tc>
      </w:tr>
      <w:tr>
        <w:tc>
          <w:tcPr>
            <w:tcW w:type="dxa" w:w="1500"/>
          </w:tcPr>
          <w:p>
            <w:r>
              <w:t xml:space="preserve">KSGF</w:t>
            </w:r>
          </w:p>
        </w:tc>
        <w:tc>
          <w:tcPr>
            <w:tcW w:type="dxa" w:w="1500"/>
          </w:tcPr>
          <w:p>
            <w:r>
              <w:t xml:space="preserve">B</w:t>
            </w:r>
          </w:p>
        </w:tc>
        <w:tc>
          <w:tcPr>
            <w:tcW w:type="dxa" w:w="1500"/>
          </w:tcPr>
          <w:p>
            <w:r>
              <w:rPr>
                <w:rFonts w:ascii="Courier New" w:cs="Courier New" w:eastAsia="Courier New" w:hAnsi="Courier New"/>
              </w:rPr>
              <w:t xml:space="preserve">341441</w:t>
            </w:r>
          </w:p>
        </w:tc>
        <w:tc>
          <w:tcPr>
            <w:tcW w:type="dxa" w:w="1500"/>
          </w:tcPr>
          <w:p>
            <w:r>
              <w:t xml:space="preserve">340</w:t>
            </w:r>
          </w:p>
        </w:tc>
        <w:tc>
          <w:tcPr>
            <w:tcW w:type="dxa" w:w="1500"/>
          </w:tcPr>
          <w:p>
            <w:r>
              <w:t xml:space="preserve">14</w:t>
            </w:r>
          </w:p>
        </w:tc>
        <w:tc>
          <w:tcPr>
            <w:tcW w:type="dxa" w:w="1500"/>
          </w:tcPr>
          <w:p>
            <w:r>
              <w:t xml:space="preserve">−41</w:t>
            </w:r>
          </w:p>
        </w:tc>
      </w:tr>
      <w:tr>
        <w:tc>
          <w:tcPr>
            <w:tcW w:type="dxa" w:w="1500"/>
          </w:tcPr>
          <w:p>
            <w:r>
              <w:t xml:space="preserve">KMEM</w:t>
            </w:r>
          </w:p>
        </w:tc>
        <w:tc>
          <w:tcPr>
            <w:tcW w:type="dxa" w:w="1500"/>
          </w:tcPr>
          <w:p>
            <w:r>
              <w:t xml:space="preserve">—</w:t>
            </w:r>
          </w:p>
        </w:tc>
        <w:tc>
          <w:tcPr>
            <w:tcW w:type="dxa" w:w="1500"/>
          </w:tcPr>
          <w:p>
            <w:r>
              <w:rPr>
                <w:rFonts w:ascii="Courier New" w:cs="Courier New" w:eastAsia="Courier New" w:hAnsi="Courier New"/>
              </w:rPr>
              <w:t xml:space="preserve">351741</w:t>
            </w:r>
          </w:p>
        </w:tc>
        <w:tc>
          <w:tcPr>
            <w:tcW w:type="dxa" w:w="1500"/>
          </w:tcPr>
          <w:p>
            <w:r>
              <w:t xml:space="preserve">350</w:t>
            </w:r>
          </w:p>
        </w:tc>
        <w:tc>
          <w:tcPr>
            <w:tcW w:type="dxa" w:w="1500"/>
          </w:tcPr>
          <w:p>
            <w:r>
              <w:t xml:space="preserve">17</w:t>
            </w:r>
          </w:p>
        </w:tc>
        <w:tc>
          <w:tcPr>
            <w:tcW w:type="dxa" w:w="1500"/>
          </w:tcPr>
          <w:p>
            <w:r>
              <w:t xml:space="preserve">−41</w:t>
            </w:r>
          </w:p>
        </w:tc>
      </w:tr>
      <w:tr>
        <w:tc>
          <w:tcPr>
            <w:tcW w:type="dxa" w:w="1500"/>
          </w:tcPr>
          <w:p>
            <w:r>
              <w:t xml:space="preserve">KLIT</w:t>
            </w:r>
          </w:p>
        </w:tc>
        <w:tc>
          <w:tcPr>
            <w:tcW w:type="dxa" w:w="1500"/>
          </w:tcPr>
          <w:p>
            <w:r>
              <w:t xml:space="preserve">—</w:t>
            </w:r>
          </w:p>
        </w:tc>
        <w:tc>
          <w:tcPr>
            <w:tcW w:type="dxa" w:w="1500"/>
          </w:tcPr>
          <w:p>
            <w:r>
              <w:rPr>
                <w:rFonts w:ascii="Courier New" w:cs="Courier New" w:eastAsia="Courier New" w:hAnsi="Courier New"/>
              </w:rPr>
              <w:t xml:space="preserve">030741</w:t>
            </w:r>
          </w:p>
        </w:tc>
        <w:tc>
          <w:tcPr>
            <w:tcW w:type="dxa" w:w="1500"/>
          </w:tcPr>
          <w:p>
            <w:r>
              <w:t xml:space="preserve">030</w:t>
            </w:r>
          </w:p>
        </w:tc>
        <w:tc>
          <w:tcPr>
            <w:tcW w:type="dxa" w:w="1500"/>
          </w:tcPr>
          <w:p>
            <w:r>
              <w:t xml:space="preserve">07</w:t>
            </w:r>
          </w:p>
        </w:tc>
        <w:tc>
          <w:tcPr>
            <w:tcW w:type="dxa" w:w="1500"/>
          </w:tcPr>
          <w:p>
            <w:r>
              <w:t xml:space="preserve">−41</w:t>
            </w:r>
          </w:p>
        </w:tc>
      </w:tr>
      <w:tr>
        <w:tc>
          <w:tcPr>
            <w:tcW w:type="dxa" w:w="1500"/>
          </w:tcPr>
          <w:p>
            <w:r>
              <w:t xml:space="preserve">KABQ</w:t>
            </w:r>
          </w:p>
        </w:tc>
        <w:tc>
          <w:tcPr>
            <w:tcW w:type="dxa" w:w="1500"/>
          </w:tcPr>
          <w:p>
            <w:r>
              <w:t xml:space="preserve">B</w:t>
            </w:r>
          </w:p>
        </w:tc>
        <w:tc>
          <w:tcPr>
            <w:tcW w:type="dxa" w:w="1500"/>
          </w:tcPr>
          <w:p>
            <w:r>
              <w:rPr>
                <w:rFonts w:ascii="Courier New" w:cs="Courier New" w:eastAsia="Courier New" w:hAnsi="Courier New"/>
              </w:rPr>
              <w:t xml:space="preserve">280940</w:t>
            </w:r>
          </w:p>
        </w:tc>
        <w:tc>
          <w:tcPr>
            <w:tcW w:type="dxa" w:w="1500"/>
          </w:tcPr>
          <w:p>
            <w:r>
              <w:t xml:space="preserve">280</w:t>
            </w:r>
          </w:p>
        </w:tc>
        <w:tc>
          <w:tcPr>
            <w:tcW w:type="dxa" w:w="1500"/>
          </w:tcPr>
          <w:p>
            <w:r>
              <w:t xml:space="preserve">09</w:t>
            </w:r>
          </w:p>
        </w:tc>
        <w:tc>
          <w:tcPr>
            <w:tcW w:type="dxa" w:w="1500"/>
          </w:tcPr>
          <w:p>
            <w:r>
              <w:t xml:space="preserve">−40</w:t>
            </w:r>
          </w:p>
        </w:tc>
      </w:tr>
      <w:tr>
        <w:tc>
          <w:tcPr>
            <w:tcW w:type="dxa" w:w="1500"/>
          </w:tcPr>
          <w:p>
            <w:r>
              <w:t xml:space="preserve">KSFO</w:t>
            </w:r>
          </w:p>
        </w:tc>
        <w:tc>
          <w:tcPr>
            <w:tcW w:type="dxa" w:w="1500"/>
          </w:tcPr>
          <w:p>
            <w:r>
              <w:t xml:space="preserve">A and B</w:t>
            </w:r>
          </w:p>
        </w:tc>
        <w:tc>
          <w:tcPr>
            <w:tcW w:type="dxa" w:w="1500"/>
          </w:tcPr>
          <w:p>
            <w:r>
              <w:rPr>
                <w:rFonts w:ascii="Courier New" w:cs="Courier New" w:eastAsia="Courier New" w:hAnsi="Courier New"/>
              </w:rPr>
              <w:t xml:space="preserve">151345</w:t>
            </w:r>
          </w:p>
        </w:tc>
        <w:tc>
          <w:tcPr>
            <w:tcW w:type="dxa" w:w="1500"/>
          </w:tcPr>
          <w:p>
            <w:r>
              <w:t xml:space="preserve">150</w:t>
            </w:r>
          </w:p>
        </w:tc>
        <w:tc>
          <w:tcPr>
            <w:tcW w:type="dxa" w:w="1500"/>
          </w:tcPr>
          <w:p>
            <w:r>
              <w:t xml:space="preserve">13</w:t>
            </w:r>
          </w:p>
        </w:tc>
        <w:tc>
          <w:tcPr>
            <w:tcW w:type="dxa" w:w="1500"/>
          </w:tcPr>
          <w:p>
            <w:r>
              <w:t xml:space="preserve">−45</w:t>
            </w:r>
          </w:p>
        </w:tc>
      </w:tr>
    </w:tbl>
    <w:p/>
    <w:p>
      <w:r>
        <w:rPr>
          <w:b/>
          <w:bCs/>
        </w:rPr>
        <w:t xml:space="preserve">How Meridian's flight-planning system applies these to a leg.</w:t>
      </w:r>
      <w:r>
        <w:t xml:space="preserve"> Each leg is assigned the wind at the waypoint at its </w:t>
      </w:r>
      <w:r>
        <w:rPr>
          <w:b/>
          <w:bCs/>
        </w:rPr>
        <w:t xml:space="preserve">far end</w:t>
      </w:r>
      <w:r>
        <w:t xml:space="preserve"> — the one the aircraft is flying toward, not the one it is leaving, so leg A1 (KJFK→KDBQ) takes KDBQ's wind — and that single wind vector is treated as constant for the whole leg. This is a simplification the case states openly; a real system interpolates continuously (SEE APPENDIX E, MA3). Rows marked "—" in the second column are stations Meridian's system pulled for this corridor that neither filed routing currently uses.</w:t>
      </w:r>
    </w:p>
    <w:p>
      <w:pPr>
        <w:pStyle w:val="Heading2"/>
        <w:spacing w:after="120" w:before="240"/>
      </w:pPr>
      <w:r>
        <w:t xml:space="preserve">Appendix C — Aircraft, Performance, and the Fuel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Aircraft type flown by Meridian 412</w:t>
            </w:r>
          </w:p>
        </w:tc>
        <w:tc>
          <w:tcPr>
            <w:tcW w:type="dxa" w:w="4500"/>
          </w:tcPr>
          <w:p>
            <w:r>
              <w:t xml:space="preserve">Boeing 737-800 (ICAO type designator B738) [S4]</w:t>
            </w:r>
          </w:p>
        </w:tc>
      </w:tr>
      <w:tr>
        <w:tc>
          <w:tcPr>
            <w:tcW w:type="dxa" w:w="4500"/>
          </w:tcPr>
          <w:p>
            <w:r>
              <w:t xml:space="preserve">Cruise Mach number and certified ceiling</w:t>
            </w:r>
          </w:p>
        </w:tc>
        <w:tc>
          <w:tcPr>
            <w:tcW w:type="dxa" w:w="4500"/>
          </w:tcPr>
          <w:p>
            <w:r>
              <w:t xml:space="preserve">Mach 0.79; ceiling FL410 [S4]</w:t>
            </w:r>
          </w:p>
        </w:tc>
      </w:tr>
      <w:tr>
        <w:tc>
          <w:tcPr>
            <w:tcW w:type="dxa" w:w="4500"/>
          </w:tcPr>
          <w:p>
            <w:r>
              <w:t xml:space="preserve">Planned cruise altitude</w:t>
            </w:r>
          </w:p>
        </w:tc>
        <w:tc>
          <w:tcPr>
            <w:tcW w:type="dxa" w:w="4500"/>
          </w:tcPr>
          <w:p>
            <w:r>
              <w:t xml:space="preserve">FL340 (34,000 ft) — the level whose winds are published in Appendix B</w:t>
            </w:r>
          </w:p>
        </w:tc>
      </w:tr>
      <w:tr>
        <w:tc>
          <w:tcPr>
            <w:tcW w:type="dxa" w:w="4500"/>
          </w:tcPr>
          <w:p>
            <w:r>
              <w:t xml:space="preserve">Planned true airspeed in cruise</w:t>
            </w:r>
          </w:p>
        </w:tc>
        <w:tc>
          <w:tcPr>
            <w:tcW w:type="dxa" w:w="4500"/>
          </w:tcPr>
          <w:p>
            <w:r>
              <w:rPr>
                <w:b/>
                <w:bCs/>
              </w:rPr>
              <w:t xml:space="preserve">460 kt</w:t>
            </w:r>
            <w:r>
              <w:t xml:space="preserve"> [S4]</w:t>
            </w:r>
          </w:p>
        </w:tc>
      </w:tr>
      <w:tr>
        <w:tc>
          <w:tcPr>
            <w:tcW w:type="dxa" w:w="4500"/>
          </w:tcPr>
          <w:p>
            <w:r>
              <w:t xml:space="preserve">Cruise fuel flow, total aircraft</w:t>
            </w:r>
          </w:p>
        </w:tc>
        <w:tc>
          <w:tcPr>
            <w:tcW w:type="dxa" w:w="4500"/>
          </w:tcPr>
          <w:p>
            <w:r>
              <w:rPr>
                <w:b/>
                <w:bCs/>
              </w:rPr>
              <w:t xml:space="preserve">40.1 kg/minute = 2,406 kg/h = 5,304.3 lb/h</w:t>
            </w:r>
            <w:r>
              <w:t xml:space="preserve"> [S5] (pounds figure derived at 1 kg = 2.20462 lb)</w:t>
            </w:r>
          </w:p>
        </w:tc>
      </w:tr>
      <w:tr>
        <w:tc>
          <w:tcPr>
            <w:tcW w:type="dxa" w:w="4500"/>
          </w:tcPr>
          <w:p>
            <w:r>
              <w:t xml:space="preserve">Minimum dispatch fuel — the reserve rule</w:t>
            </w:r>
          </w:p>
        </w:tc>
        <w:tc>
          <w:tcPr>
            <w:tcW w:type="dxa" w:w="4500"/>
          </w:tcPr>
          <w:p>
            <w:r>
              <w:t xml:space="preserve">Enough fuel to (a) fly to the airport to which it is dispatched, (b) fly to and land at the most distant alternate airport where one is required, and (c) fly thereafter for </w:t>
            </w:r>
            <w:r>
              <w:rPr>
                <w:b/>
                <w:bCs/>
              </w:rPr>
              <w:t xml:space="preserve">45 minutes</w:t>
            </w:r>
            <w:r>
              <w:t xml:space="preserve"> at normal cruising fuel consumption [S6]</w:t>
            </w:r>
          </w:p>
        </w:tc>
      </w:tr>
      <w:tr>
        <w:tc>
          <w:tcPr>
            <w:tcW w:type="dxa" w:w="4500"/>
          </w:tcPr>
          <w:p>
            <w:r>
              <w:t xml:space="preserve">Filed alternate for KSFO</w:t>
            </w:r>
          </w:p>
        </w:tc>
        <w:tc>
          <w:tcPr>
            <w:tcW w:type="dxa" w:w="4500"/>
          </w:tcPr>
          <w:p>
            <w:r>
              <w:t xml:space="preserve">KLAX — Los Angeles Intl, </w:t>
            </w:r>
            <w:r>
              <w:rPr>
                <w:b/>
                <w:bCs/>
              </w:rPr>
              <w:t xml:space="preserve">293.3 nm</w:t>
            </w:r>
            <w:r>
              <w:t xml:space="preserve"> from KSFO on an initial true course of </w:t>
            </w:r>
            <w:r>
              <w:rPr>
                <w:b/>
                <w:bCs/>
              </w:rPr>
              <w:t xml:space="preserve">137.6°</w:t>
            </w:r>
            <w:r>
              <w:t xml:space="preserve"> (computed from the positions in Appendix A)</w:t>
            </w:r>
          </w:p>
        </w:tc>
      </w:tr>
      <w:tr>
        <w:tc>
          <w:tcPr>
            <w:tcW w:type="dxa" w:w="4500"/>
          </w:tcPr>
          <w:p>
            <w:r>
              <w:t xml:space="preserve">How the alternate leg is planned</w:t>
            </w:r>
          </w:p>
        </w:tc>
        <w:tc>
          <w:tcPr>
            <w:tcW w:type="dxa" w:w="4500"/>
          </w:tcPr>
          <w:p>
            <w:r>
              <w:t xml:space="preserve">Against the </w:t>
            </w:r>
            <w:r>
              <w:rPr>
                <w:b/>
                <w:bCs/>
              </w:rPr>
              <w:t xml:space="preserve">KSFO</w:t>
            </w:r>
            <w:r>
              <w:t xml:space="preserve"> wind from Appendix B — the only wind published anywhere near the destination — and with </w:t>
            </w:r>
            <w:r>
              <w:rPr>
                <w:b/>
                <w:bCs/>
              </w:rPr>
              <w:t xml:space="preserve">no</w:t>
            </w:r>
            <w:r>
              <w:t xml:space="preserve"> airway-structure allowance, because a diversion is flown direct rather than on a filed airway routing</w:t>
            </w:r>
          </w:p>
        </w:tc>
      </w:tr>
    </w:tbl>
    <w:p/>
    <w:p>
      <w:pPr>
        <w:pStyle w:val="Heading2"/>
        <w:spacing w:after="120" w:before="240"/>
      </w:pPr>
      <w:r>
        <w:t xml:space="preserve">Appendix D — What The Fuel Costs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Jet fuel price</w:t>
            </w:r>
          </w:p>
        </w:tc>
        <w:tc>
          <w:tcPr>
            <w:tcW w:type="dxa" w:w="4500"/>
          </w:tcPr>
          <w:p>
            <w:r>
              <w:rPr>
                <w:b/>
                <w:bCs/>
              </w:rPr>
              <w:t xml:space="preserve">$3.403 per US gallon</w:t>
            </w:r>
            <w:r>
              <w:t xml:space="preserve"> — U.S. Gulf Coast Kerosene-Type Jet Fuel Spot Price FOB, monthly series, </w:t>
            </w:r>
            <w:r>
              <w:rPr>
                <w:b/>
                <w:bCs/>
              </w:rPr>
              <w:t xml:space="preserve">July 2026</w:t>
            </w:r>
            <w:r>
              <w:t xml:space="preserve"> [S7]</w:t>
            </w:r>
          </w:p>
        </w:tc>
      </w:tr>
      <w:tr>
        <w:tc>
          <w:tcPr>
            <w:tcW w:type="dxa" w:w="4500"/>
          </w:tcPr>
          <w:p>
            <w:r>
              <w:t xml:space="preserve">"As of" cutoff for the price</w:t>
            </w:r>
          </w:p>
        </w:tc>
        <w:tc>
          <w:tcPr>
            <w:tcW w:type="dxa" w:w="4500"/>
          </w:tcPr>
          <w:p>
            <w:r>
              <w:rPr>
                <w:b/>
                <w:bCs/>
              </w:rPr>
              <w:t xml:space="preserve">July 2026</w:t>
            </w:r>
            <w:r>
              <w:t xml:space="preserve">, the most recent month carrying a published value in the series. The series' own release date is 12 August 2026 and its August 2026 cell was still empty on that date, so no part-month value exists to use and none is used anywhere in this case. Every dollar figure in this case is frozen at this same cutoff.</w:t>
            </w:r>
          </w:p>
        </w:tc>
      </w:tr>
      <w:tr>
        <w:tc>
          <w:tcPr>
            <w:tcW w:type="dxa" w:w="4500"/>
          </w:tcPr>
          <w:p>
            <w:r>
              <w:t xml:space="preserve">Density used to convert pounds of fuel to gallons</w:t>
            </w:r>
          </w:p>
        </w:tc>
        <w:tc>
          <w:tcPr>
            <w:tcW w:type="dxa" w:w="4500"/>
          </w:tcPr>
          <w:p>
            <w:r>
              <w:t xml:space="preserve">See Appendix E, MA4</w:t>
            </w:r>
          </w:p>
        </w:tc>
      </w:tr>
      <w:tr>
        <w:tc>
          <w:tcPr>
            <w:tcW w:type="dxa" w:w="4500"/>
          </w:tcPr>
          <w:p>
            <w:r>
              <w:t xml:space="preserve">Departures per year used to annualise the difference</w:t>
            </w:r>
          </w:p>
        </w:tc>
        <w:tc>
          <w:tcPr>
            <w:tcW w:type="dxa" w:w="4500"/>
          </w:tcPr>
          <w:p>
            <w:r>
              <w:t xml:space="preserve">See Appendix E, MA1</w:t>
            </w:r>
          </w:p>
        </w:tc>
      </w:tr>
    </w:tbl>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H names the skills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Meridian's frequency on this city pair, used only to annualise the per-flight difference</w:t>
            </w:r>
          </w:p>
        </w:tc>
        <w:tc>
          <w:tcPr>
            <w:tcW w:type="dxa" w:w="1800"/>
          </w:tcPr>
          <w:p>
            <w:r>
              <w:rPr>
                <w:b/>
                <w:bCs/>
              </w:rPr>
              <w:t xml:space="preserve">2 departures per day, 365 days a year (730 departures)</w:t>
            </w:r>
          </w:p>
        </w:tc>
        <w:tc>
          <w:tcPr>
            <w:tcW w:type="dxa" w:w="1800"/>
          </w:tcPr>
          <w:p>
            <w:r>
              <w:t xml:space="preserve">Meridian Air is fictional; no schedule for it can exist publicly. Two daily frequencies is an ordinary mainline transcontinental pattern.</w:t>
            </w:r>
          </w:p>
        </w:tc>
        <w:tc>
          <w:tcPr>
            <w:tcW w:type="dxa" w:w="1800"/>
          </w:tcPr>
          <w:p>
            <w:r>
              <w:t xml:space="preserve">Scales the annual dollar figure linearly. </w:t>
            </w:r>
            <w:r>
              <w:rPr>
                <w:b/>
                <w:bCs/>
              </w:rPr>
              <w:t xml:space="preserve">Cannot change which routing wins</w:t>
            </w:r>
            <w:r>
              <w:t xml:space="preserve"> — it multiplies both routings by the same number.</w:t>
            </w:r>
          </w:p>
        </w:tc>
      </w:tr>
      <w:tr>
        <w:tc>
          <w:tcPr>
            <w:tcW w:type="dxa" w:w="1800"/>
          </w:tcPr>
          <w:p>
            <w:r>
              <w:t xml:space="preserve">MA2</w:t>
            </w:r>
          </w:p>
        </w:tc>
        <w:tc>
          <w:tcPr>
            <w:tcW w:type="dxa" w:w="1800"/>
          </w:tcPr>
          <w:p>
            <w:r>
              <w:t xml:space="preserve">Airway-structure allowance: the percentage by which filed track miles exceed the great-circle distance, because real routings follow published airways and fixes rather than an exact great circle</w:t>
            </w:r>
          </w:p>
        </w:tc>
        <w:tc>
          <w:tcPr>
            <w:tcW w:type="dxa" w:w="1800"/>
          </w:tcPr>
          <w:p>
            <w:r>
              <w:rPr>
                <w:b/>
                <w:bCs/>
              </w:rPr>
              <w:t xml:space="preserve">+1.0% on the northern corridor (Routing A), +1.5% on the southern corridor (Routing B)</w:t>
            </w:r>
          </w:p>
        </w:tc>
        <w:tc>
          <w:tcPr>
            <w:tcW w:type="dxa" w:w="1800"/>
          </w:tcPr>
          <w:p>
            <w:r>
              <w:t xml:space="preserve">A real, well-known effect with no published per-corridor figure. The southern corridor is given the larger allowance on the reasoning that it offers fewer direct routings and more weather deviation. </w:t>
            </w:r>
            <w:r>
              <w:rPr>
                <w:b/>
                <w:bCs/>
              </w:rPr>
              <w:t xml:space="preserve">That direction is asserted, not measured, and a Hero may reasonably argue the opposite.</w:t>
            </w:r>
          </w:p>
        </w:tc>
        <w:tc>
          <w:tcPr>
            <w:tcW w:type="dxa" w:w="1800"/>
          </w:tcPr>
          <w:p>
            <w:r>
              <w:t xml:space="preserve">Directly load-bearing, and the single largest stated lever in the case. Flexing each value ±50%, one at a time, leaves the gap between the two routings between 0.95% and 2.40% on the primary metric; taking both to their opposite extremes at once widens that band to 0.46%–2.88%. No setting inside that range changes which routing comes out ahead. Reversing the two values </w:t>
            </w:r>
            <w:r>
              <w:rPr>
                <w:b/>
                <w:bCs/>
              </w:rPr>
              <w:t xml:space="preserve">widens</w:t>
            </w:r>
            <w:r>
              <w:t xml:space="preserve"> the gap rather than narrowing it, to 2.64%.</w:t>
            </w:r>
          </w:p>
        </w:tc>
      </w:tr>
      <w:tr>
        <w:tc>
          <w:tcPr>
            <w:tcW w:type="dxa" w:w="1800"/>
          </w:tcPr>
          <w:p>
            <w:r>
              <w:t xml:space="preserve">MA3</w:t>
            </w:r>
          </w:p>
        </w:tc>
        <w:tc>
          <w:tcPr>
            <w:tcW w:type="dxa" w:w="1800"/>
          </w:tcPr>
          <w:p>
            <w:r>
              <w:t xml:space="preserve">One wind vector per leg, taken at the leg's downwind-end waypoint and held constant along the whole leg</w:t>
            </w:r>
          </w:p>
        </w:tc>
        <w:tc>
          <w:tcPr>
            <w:tcW w:type="dxa" w:w="1800"/>
          </w:tcPr>
          <w:p>
            <w:r>
              <w:rPr>
                <w:b/>
                <w:bCs/>
              </w:rPr>
              <w:t xml:space="preserve">Applied to all six legs</w:t>
            </w:r>
          </w:p>
        </w:tc>
        <w:tc>
          <w:tcPr>
            <w:tcW w:type="dxa" w:w="1800"/>
          </w:tcPr>
          <w:p>
            <w:r>
              <w:t xml:space="preserve">A real flight-planning system samples the forecast grid continuously. Holding one published point wind per leg is what makes this case computable by hand.</w:t>
            </w:r>
          </w:p>
        </w:tc>
        <w:tc>
          <w:tcPr>
            <w:tcW w:type="dxa" w:w="1800"/>
          </w:tcPr>
          <w:p>
            <w:r>
              <w:t xml:space="preserve">Direction of error: it </w:t>
            </w:r>
            <w:r>
              <w:rPr>
                <w:b/>
                <w:bCs/>
              </w:rPr>
              <w:t xml:space="preserve">understates</w:t>
            </w:r>
            <w:r>
              <w:t xml:space="preserve"> how much the wind varies along a long leg. It hits Routing A's 957.4 nm KDBQ→KSLC leg and Routing B's 936.0 nm KJFK→KSGF leg hardest, and those two legs are roughly the same length — so the simplification does not obviously favour one routing over the other.</w:t>
            </w:r>
          </w:p>
        </w:tc>
      </w:tr>
      <w:tr>
        <w:tc>
          <w:tcPr>
            <w:tcW w:type="dxa" w:w="1800"/>
          </w:tcPr>
          <w:p>
            <w:r>
              <w:t xml:space="preserve">MA4</w:t>
            </w:r>
          </w:p>
        </w:tc>
        <w:tc>
          <w:tcPr>
            <w:tcW w:type="dxa" w:w="1800"/>
          </w:tcPr>
          <w:p>
            <w:r>
              <w:t xml:space="preserve">Density of Jet A used to convert pounds of fuel to US gallons</w:t>
            </w:r>
          </w:p>
        </w:tc>
        <w:tc>
          <w:tcPr>
            <w:tcW w:type="dxa" w:w="1800"/>
          </w:tcPr>
          <w:p>
            <w:r>
              <w:rPr>
                <w:b/>
                <w:bCs/>
              </w:rPr>
              <w:t xml:space="preserve">6.7 lb per US gallon</w:t>
            </w:r>
          </w:p>
        </w:tc>
        <w:tc>
          <w:tcPr>
            <w:tcW w:type="dxa" w:w="1800"/>
          </w:tcPr>
          <w:p>
            <w:r>
              <w:t xml:space="preserve">The planning density used throughout US aviation. The governing specification (ASTM D1655) is behind a paywall and no US-government page stating a pounds-per-gallon figure was located and fetched for this case — so this is declared as an assumption rather than cited (see </w:t>
            </w:r>
            <w:r>
              <w:rPr>
                <w:rFonts w:ascii="Courier New" w:cs="Courier New" w:eastAsia="Courier New" w:hAnsi="Courier New"/>
              </w:rPr>
              <w:t xml:space="preserve">RESEARCH_LOG.md</w:t>
            </w:r>
            <w:r>
              <w:t xml:space="preserve">, P71).</w:t>
            </w:r>
          </w:p>
        </w:tc>
        <w:tc>
          <w:tcPr>
            <w:tcW w:type="dxa" w:w="1800"/>
          </w:tcPr>
          <w:p>
            <w:r>
              <w:t xml:space="preserve">Affects </w:t>
            </w:r>
            <w:r>
              <w:rPr>
                <w:b/>
                <w:bCs/>
              </w:rPr>
              <w:t xml:space="preserve">only</w:t>
            </w:r>
            <w:r>
              <w:t xml:space="preserve"> the dollar figure, and affects both routings identically. </w:t>
            </w:r>
            <w:r>
              <w:rPr>
                <w:b/>
                <w:bCs/>
              </w:rPr>
              <w:t xml:space="preserve">Cannot change which routing wins.</w:t>
            </w:r>
          </w:p>
        </w:tc>
      </w:tr>
      <w:tr>
        <w:tc>
          <w:tcPr>
            <w:tcW w:type="dxa" w:w="1800"/>
          </w:tcPr>
          <w:p>
            <w:r>
              <w:t xml:space="preserve">MA5</w:t>
            </w:r>
          </w:p>
        </w:tc>
        <w:tc>
          <w:tcPr>
            <w:tcW w:type="dxa" w:w="1800"/>
          </w:tcPr>
          <w:p>
            <w:r>
              <w:t xml:space="preserve">Leg geometry: each leg's length is the great-circle distance between its endpoints, while its true course is the </w:t>
            </w:r>
            <w:r>
              <w:rPr>
                <w:b/>
                <w:bCs/>
              </w:rPr>
              <w:t xml:space="preserve">initial</w:t>
            </w:r>
            <w:r>
              <w:t xml:space="preserve"> great-circle course of that leg, held constant from end to end</w:t>
            </w:r>
          </w:p>
        </w:tc>
        <w:tc>
          <w:tcPr>
            <w:tcW w:type="dxa" w:w="1800"/>
          </w:tcPr>
          <w:p>
            <w:r>
              <w:rPr>
                <w:b/>
                <w:bCs/>
              </w:rPr>
              <w:t xml:space="preserve">Applied to all six legs of both routings, and to the KSFO→KLAX alternate leg</w:t>
            </w:r>
          </w:p>
        </w:tc>
        <w:tc>
          <w:tcPr>
            <w:tcW w:type="dxa" w:w="1800"/>
          </w:tcPr>
          <w:p>
            <w:r>
              <w:t xml:space="preserve">A great circle's true course changes continuously along the leg: on the 957.4 nm KDBQ→KSLC leg it runs from 271.4° where the leg begins to 257.2° where it ends. Holding the initial course constant is the standard hand-planning simplification, and it is what makes a single dot product per leg meaningful at all. Note that a track flown on a genuinely constant true course is a rhumb line, which on these legs is longer than the great circle by roughly a tenth of a percent — so the two halves of this assumption pull very slightly against each other.</w:t>
            </w:r>
          </w:p>
        </w:tc>
        <w:tc>
          <w:tcPr>
            <w:tcW w:type="dxa" w:w="1800"/>
          </w:tcPr>
          <w:p>
            <w:r>
              <w:t xml:space="preserve">Load-bearing on every along-course and crosswind component in D3 and D4, and the least conservative assumption stated here. Re-solving the whole case instead on the mean of each leg's initial and final course, on its final course, or on true rhumb-line courses with rhumb-line distances, moves the gap on the primary metric by well under a percentage point in each case and changes which routing comes out ahead in none of them.</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Published airport reference positions for KJFK, KABQ, KLAX, KBUF, KDEN, KLIT</w:t>
            </w:r>
          </w:p>
        </w:tc>
        <w:tc>
          <w:tcPr>
            <w:tcW w:type="dxa" w:w="1500"/>
          </w:tcPr>
          <w:p>
            <w:r>
              <w:t xml:space="preserve">latitude/longitude in decimal degrees, as tabulated in Appendix A</w:t>
            </w:r>
          </w:p>
        </w:tc>
        <w:tc>
          <w:tcPr>
            <w:tcW w:type="dxa" w:w="1500"/>
          </w:tcPr>
          <w:p>
            <w:r>
              <w:t xml:space="preserve">NOAA/NWS Aviation Weather Center, Airport Data API (</w:t>
            </w:r>
            <w:hyperlink w:history="1" r:id="rIdt-ue5lx5-c2guryk3he9n">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S2</w:t>
            </w:r>
          </w:p>
        </w:tc>
        <w:tc>
          <w:tcPr>
            <w:tcW w:type="dxa" w:w="1500"/>
          </w:tcPr>
          <w:p>
            <w:r>
              <w:t xml:space="preserve">Published airport reference positions for KSFO, KDBQ, KSLC, KSGF, KMEM</w:t>
            </w:r>
          </w:p>
        </w:tc>
        <w:tc>
          <w:tcPr>
            <w:tcW w:type="dxa" w:w="1500"/>
          </w:tcPr>
          <w:p>
            <w:r>
              <w:t xml:space="preserve">latitude/longitude in decimal degrees, as tabulated in Appendix A</w:t>
            </w:r>
          </w:p>
        </w:tc>
        <w:tc>
          <w:tcPr>
            <w:tcW w:type="dxa" w:w="1500"/>
          </w:tcPr>
          <w:p>
            <w:r>
              <w:t xml:space="preserve">NOAA/NWS Aviation Weather Center, Airport Data API (</w:t>
            </w:r>
            <w:hyperlink w:history="1" r:id="rIdfoba1bwhndanqi2zxa_1b">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S3</w:t>
            </w:r>
          </w:p>
        </w:tc>
        <w:tc>
          <w:tcPr>
            <w:tcW w:type="dxa" w:w="1500"/>
          </w:tcPr>
          <w:p>
            <w:r>
              <w:t xml:space="preserve">Forecast wind direction and speed at 34,000 ft at each waypoint</w:t>
            </w:r>
          </w:p>
        </w:tc>
        <w:tc>
          <w:tcPr>
            <w:tcW w:type="dxa" w:w="1500"/>
          </w:tcPr>
          <w:p>
            <w:r>
              <w:t xml:space="preserve">the coded groups reproduced verbatim in Appendix B</w:t>
            </w:r>
          </w:p>
        </w:tc>
        <w:tc>
          <w:tcPr>
            <w:tcW w:type="dxa" w:w="1500"/>
          </w:tcPr>
          <w:p>
            <w:r>
              <w:t xml:space="preserve">NWS Aviation Weather Center, Winds and Temperatures Aloft Forecast </w:t>
            </w:r>
            <w:r>
              <w:rPr>
                <w:b/>
                <w:bCs/>
              </w:rPr>
              <w:t xml:space="preserve">FBUS33 KWNO / FD3US3</w:t>
            </w:r>
            <w:r>
              <w:t xml:space="preserve">, issued 122001Z, data based on 121800Z, valid 130600Z — retrieved from the Iowa Environmental Mesonet's permanent NWS text-product archive (</w:t>
            </w:r>
            <w:hyperlink w:history="1" r:id="rIddfamobp0mgoaxz5snqbyq">
              <w:r>
                <w:rPr>
                  <w:rStyle w:val="Hyperlink"/>
                </w:rPr>
                <w:t xml:space="preserve">link</w:t>
              </w:r>
            </w:hyperlink>
            <w:r>
              <w:t xml:space="preserve">)</w:t>
            </w:r>
          </w:p>
        </w:tc>
        <w:tc>
          <w:tcPr>
            <w:tcW w:type="dxa" w:w="1500"/>
          </w:tcPr>
          <w:p>
            <w:r>
              <w:t xml:space="preserve">2026-08-12</w:t>
            </w:r>
          </w:p>
        </w:tc>
        <w:tc>
          <w:tcPr>
            <w:tcW w:type="dxa" w:w="1500"/>
          </w:tcPr>
          <w:p>
            <w:r>
              <w:t xml:space="preserve">HIGH — the archive permalink above pins the </w:t>
            </w:r>
            <w:r>
              <w:rPr>
                <w:b/>
                <w:bCs/>
              </w:rPr>
              <w:t xml:space="preserve">122001Z</w:t>
            </w:r>
            <w:r>
              <w:t xml:space="preserve"> issuance and was re-fetched at QA; all ten coded groups in Appendix B were confirmed against it. Note that </w:t>
            </w:r>
            <w:r>
              <w:rPr>
                <w:rFonts w:ascii="Courier New" w:cs="Courier New" w:eastAsia="Courier New" w:hAnsi="Courier New"/>
              </w:rPr>
              <w:t xml:space="preserve">FD3US3</w:t>
            </w:r>
            <w:r>
              <w:t xml:space="preserve"> is a rolling product: an archive query that does not pin the issuance returns whichever forecast is current, whose winds are entirely different figures</w:t>
            </w:r>
          </w:p>
        </w:tc>
      </w:tr>
      <w:tr>
        <w:tc>
          <w:tcPr>
            <w:tcW w:type="dxa" w:w="1500"/>
          </w:tcPr>
          <w:p>
            <w:r>
              <w:t xml:space="preserve">S4</w:t>
            </w:r>
          </w:p>
        </w:tc>
        <w:tc>
          <w:tcPr>
            <w:tcW w:type="dxa" w:w="1500"/>
          </w:tcPr>
          <w:p>
            <w:r>
              <w:t xml:space="preserve">Boeing 737-800 cruise true airspeed, cruise Mach number, certified ceiling</w:t>
            </w:r>
          </w:p>
        </w:tc>
        <w:tc>
          <w:tcPr>
            <w:tcW w:type="dxa" w:w="1500"/>
          </w:tcPr>
          <w:p>
            <w:r>
              <w:t xml:space="preserve">TAS 460 kt; Mach 0.79; FL410</w:t>
            </w:r>
          </w:p>
        </w:tc>
        <w:tc>
          <w:tcPr>
            <w:tcW w:type="dxa" w:w="1500"/>
          </w:tcPr>
          <w:p>
            <w:r>
              <w:t xml:space="preserve">EUROCONTROL Aircraft Performance Database, type B738 (</w:t>
            </w:r>
            <w:hyperlink w:history="1" r:id="rId_t1l3bg61yj2fkvuwevvm">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S5</w:t>
            </w:r>
          </w:p>
        </w:tc>
        <w:tc>
          <w:tcPr>
            <w:tcW w:type="dxa" w:w="1500"/>
          </w:tcPr>
          <w:p>
            <w:r>
              <w:t xml:space="preserve">En-route fuel burn rate for a narrow-body jet</w:t>
            </w:r>
          </w:p>
        </w:tc>
        <w:tc>
          <w:tcPr>
            <w:tcW w:type="dxa" w:w="1500"/>
          </w:tcPr>
          <w:p>
            <w:r>
              <w:t xml:space="preserve">40.1 kg per minute</w:t>
            </w:r>
          </w:p>
        </w:tc>
        <w:tc>
          <w:tcPr>
            <w:tcW w:type="dxa" w:w="1500"/>
          </w:tcPr>
          <w:p>
            <w:r>
              <w:t xml:space="preserve">EUROCONTROL, </w:t>
            </w:r>
            <w:r>
              <w:rPr>
                <w:i/>
                <w:iCs/>
              </w:rPr>
              <w:t xml:space="preserve">Standard Inputs for Economic Analyses</w:t>
            </w:r>
            <w:r>
              <w:t xml:space="preserve">, Release 10.0.1, Table 6.1 "Average fuel burn rates (kg/minute)", column "En route"; stated data source EUROCONTROL BADA and PRISME (</w:t>
            </w:r>
            <w:hyperlink w:history="1" r:id="rId9zixsuc_uuz6gvdhxynym">
              <w:r>
                <w:rPr>
                  <w:rStyle w:val="Hyperlink"/>
                </w:rPr>
                <w:t xml:space="preserve">link</w:t>
              </w:r>
            </w:hyperlink>
            <w:r>
              <w:t xml:space="preserve">)</w:t>
            </w:r>
          </w:p>
        </w:tc>
        <w:tc>
          <w:tcPr>
            <w:tcW w:type="dxa" w:w="1500"/>
          </w:tcPr>
          <w:p>
            <w:r>
              <w:t xml:space="preserve">2026-08-12</w:t>
            </w:r>
          </w:p>
        </w:tc>
        <w:tc>
          <w:tcPr>
            <w:tcW w:type="dxa" w:w="1500"/>
          </w:tcPr>
          <w:p>
            <w:r>
              <w:t xml:space="preserve">MEDIUM — this is the published </w:t>
            </w:r>
            <w:r>
              <w:rPr>
                <w:b/>
                <w:bCs/>
              </w:rPr>
              <w:t xml:space="preserve">average for the narrow-body segment</w:t>
            </w:r>
            <w:r>
              <w:t xml:space="preserve"> (which the source names as including the B738), not a type-specific figure for the 737-800. It is used identically for both routings, so it scales the size of the answer and cannot change which routing wins.</w:t>
            </w:r>
          </w:p>
        </w:tc>
      </w:tr>
      <w:tr>
        <w:tc>
          <w:tcPr>
            <w:tcW w:type="dxa" w:w="1500"/>
          </w:tcPr>
          <w:p>
            <w:r>
              <w:t xml:space="preserve">S6</w:t>
            </w:r>
          </w:p>
        </w:tc>
        <w:tc>
          <w:tcPr>
            <w:tcW w:type="dxa" w:w="1500"/>
          </w:tcPr>
          <w:p>
            <w:r>
              <w:t xml:space="preserve">The US domestic airline minimum dispatch fuel requirement</w:t>
            </w:r>
          </w:p>
        </w:tc>
        <w:tc>
          <w:tcPr>
            <w:tcW w:type="dxa" w:w="1500"/>
          </w:tcPr>
          <w:p>
            <w:r>
              <w:t xml:space="preserve">destination + most distant alternate + 45 minutes at normal cruising fuel consumption</w:t>
            </w:r>
          </w:p>
        </w:tc>
        <w:tc>
          <w:tcPr>
            <w:tcW w:type="dxa" w:w="1500"/>
          </w:tcPr>
          <w:p>
            <w:r>
              <w:t xml:space="preserve">14 CFR § 121.639, </w:t>
            </w:r>
            <w:r>
              <w:rPr>
                <w:i/>
                <w:iCs/>
              </w:rPr>
              <w:t xml:space="preserve">Fuel supply: All domestic operations</w:t>
            </w:r>
            <w:r>
              <w:t xml:space="preserve">, Electronic Code of Federal Regulations (</w:t>
            </w:r>
            <w:hyperlink w:history="1" r:id="rIdxwk4c7hvfs8l24yst088p">
              <w:r>
                <w:rPr>
                  <w:rStyle w:val="Hyperlink"/>
                </w:rPr>
                <w:t xml:space="preserve">link</w:t>
              </w:r>
            </w:hyperlink>
            <w:r>
              <w:t xml:space="preserve">)</w:t>
            </w:r>
          </w:p>
        </w:tc>
        <w:tc>
          <w:tcPr>
            <w:tcW w:type="dxa" w:w="1500"/>
          </w:tcPr>
          <w:p>
            <w:r>
              <w:t xml:space="preserve">2026-08-12</w:t>
            </w:r>
          </w:p>
        </w:tc>
        <w:tc>
          <w:tcPr>
            <w:tcW w:type="dxa" w:w="1500"/>
          </w:tcPr>
          <w:p>
            <w:r>
              <w:t xml:space="preserve">HIGH — independently confirmed by a second fetch of the same section at Cornell LII (</w:t>
            </w:r>
            <w:hyperlink w:history="1" r:id="rIdzpp3daohpyh0njoqetqqj">
              <w:r>
                <w:rPr>
                  <w:rStyle w:val="Hyperlink"/>
                </w:rPr>
                <w:t xml:space="preserve">link</w:t>
              </w:r>
            </w:hyperlink>
            <w:r>
              <w:t xml:space="preserve">)</w:t>
            </w:r>
          </w:p>
        </w:tc>
      </w:tr>
      <w:tr>
        <w:tc>
          <w:tcPr>
            <w:tcW w:type="dxa" w:w="1500"/>
          </w:tcPr>
          <w:p>
            <w:r>
              <w:t xml:space="preserve">S7</w:t>
            </w:r>
          </w:p>
        </w:tc>
        <w:tc>
          <w:tcPr>
            <w:tcW w:type="dxa" w:w="1500"/>
          </w:tcPr>
          <w:p>
            <w:r>
              <w:t xml:space="preserve">Jet fuel price</w:t>
            </w:r>
          </w:p>
        </w:tc>
        <w:tc>
          <w:tcPr>
            <w:tcW w:type="dxa" w:w="1500"/>
          </w:tcPr>
          <w:p>
            <w:r>
              <w:t xml:space="preserve">$3.403 per US gallon, July 2026</w:t>
            </w:r>
          </w:p>
        </w:tc>
        <w:tc>
          <w:tcPr>
            <w:tcW w:type="dxa" w:w="1500"/>
          </w:tcPr>
          <w:p>
            <w:r>
              <w:t xml:space="preserve">U.S. Energy Information Administration, </w:t>
            </w:r>
            <w:r>
              <w:rPr>
                <w:i/>
                <w:iCs/>
              </w:rPr>
              <w:t xml:space="preserve">U.S. Gulf Coast Kerosene-Type Jet Fuel Spot Price FOB (Dollars per Gallon)</w:t>
            </w:r>
            <w:r>
              <w:t xml:space="preserve">, monthly series, release date 12 August 2026 (</w:t>
            </w:r>
            <w:hyperlink w:history="1" r:id="rIdomx8htbuhatvxavfm0bwv">
              <w:r>
                <w:rPr>
                  <w:rStyle w:val="Hyperlink"/>
                </w:rPr>
                <w:t xml:space="preserve">link</w:t>
              </w:r>
            </w:hyperlink>
            <w:r>
              <w:t xml:space="preserve">)</w:t>
            </w:r>
          </w:p>
        </w:tc>
        <w:tc>
          <w:tcPr>
            <w:tcW w:type="dxa" w:w="1500"/>
          </w:tcPr>
          <w:p>
            <w:r>
              <w:t xml:space="preserve">2026-08-12</w:t>
            </w:r>
          </w:p>
        </w:tc>
        <w:tc>
          <w:tcPr>
            <w:tcW w:type="dxa" w:w="1500"/>
          </w:tcPr>
          <w:p>
            <w:r>
              <w:t xml:space="preserve">HIGH — a live series; the "as of" cutoff stated in Appendix D applies to every dollar figure in this case, and the incomplete August 2026 month is deliberately not used</w:t>
            </w:r>
          </w:p>
        </w:tc>
      </w:tr>
      <w:tr>
        <w:tc>
          <w:tcPr>
            <w:tcW w:type="dxa" w:w="1500"/>
          </w:tcPr>
          <w:p>
            <w:r>
              <w:t xml:space="preserve">S8</w:t>
            </w:r>
          </w:p>
        </w:tc>
        <w:tc>
          <w:tcPr>
            <w:tcW w:type="dxa" w:w="1500"/>
          </w:tcPr>
          <w:p>
            <w:r>
              <w:t xml:space="preserve">Documented magnitude of individual-case wind-speed error in jet-stream-level numerical weather prediction analyses and short-range forecasts</w:t>
            </w:r>
          </w:p>
        </w:tc>
        <w:tc>
          <w:tcPr>
            <w:tcW w:type="dxa" w:w="1500"/>
          </w:tcPr>
          <w:p>
            <w:r>
              <w:t xml:space="preserve">up to ±10 m/s (≈19.4 kt), concentrated in upper-level ridges above the tropopause; mean bias over the full campaign only −0.15 to −0.41 m/s</w:t>
            </w:r>
          </w:p>
        </w:tc>
        <w:tc>
          <w:tcPr>
            <w:tcW w:type="dxa" w:w="1500"/>
          </w:tcPr>
          <w:p>
            <w:r>
              <w:t xml:space="preserve">Schäfler, Harvey, Methven, Doyle, Rahm, Reitebuch, Weiler &amp; Witschas, </w:t>
            </w:r>
            <w:r>
              <w:rPr>
                <w:i/>
                <w:iCs/>
              </w:rPr>
              <w:t xml:space="preserve">"Observation of Jet Stream Winds during NAWDEX and Characterization of Systematic Meteorological Analysis Errors,"</w:t>
            </w:r>
            <w:r>
              <w:t xml:space="preserve"> </w:t>
            </w:r>
            <w:r>
              <w:rPr>
                <w:b/>
                <w:bCs/>
              </w:rPr>
              <w:t xml:space="preserve">Monthly Weather Review</w:t>
            </w:r>
            <w:r>
              <w:t xml:space="preserve"> 148(7), 2889–2907, American Meteorological Society, 2020 (</w:t>
            </w:r>
            <w:hyperlink w:history="1" r:id="rIducxbm7w-rxqvgv_bd3yp8">
              <w:r>
                <w:rPr>
                  <w:rStyle w:val="Hyperlink"/>
                </w:rPr>
                <w:t xml:space="preserve">link</w:t>
              </w:r>
            </w:hyperlink>
            <w:r>
              <w:t xml:space="preserve">)</w:t>
            </w:r>
          </w:p>
        </w:tc>
        <w:tc>
          <w:tcPr>
            <w:tcW w:type="dxa" w:w="1500"/>
          </w:tcPr>
          <w:p>
            <w:r>
              <w:t xml:space="preserve">2026-08-17</w:t>
            </w:r>
          </w:p>
        </w:tc>
        <w:tc>
          <w:tcPr>
            <w:tcW w:type="dxa" w:w="1500"/>
          </w:tcPr>
          <w:p>
            <w:r>
              <w:t xml:space="preserve">MEDIUM — a peer-reviewed verification study of jet-stream winds using airborne Doppler lidar, dropsondes, and ground-based radar against ECMWF and UK Met Office analyses/short-range forecasts over the North Atlantic. It is </w:t>
            </w:r>
            <w:r>
              <w:rPr>
                <w:b/>
                <w:bCs/>
              </w:rPr>
              <w:t xml:space="preserve">not</w:t>
            </w:r>
            <w:r>
              <w:t xml:space="preserve"> a verification of the specific NWS FBUS33/FD3US3 product cited in S3, and its campaign (NAWDEX, autumn 2016) is a different jet and a different forecast system — so its exact figure is not a claim about this case's own forecast error. It is offered only as real, published evidence of the general magnitude of error documented in jet-stream-level wind analysis and forecasting.</w:t>
            </w:r>
          </w:p>
        </w:tc>
      </w:tr>
    </w:tbl>
    <w:p/>
    <w:p>
      <w:pPr>
        <w:pStyle w:val="Heading2"/>
        <w:spacing w:after="120" w:before="240"/>
      </w:pPr>
      <w:r>
        <w:t xml:space="preserve">Appendix G — Learn More</w:t>
      </w:r>
    </w:p>
    <w:p>
      <w:r>
        <w:t xml:space="preserve">These are real, currently-live resources for a Hero who wants to go beyond what the Dilemma requires — none of them is needed to complete a Challenge, and none is a source for a figure used anywhere else in this case (those are listed separately in Appendix F).</w:t>
      </w:r>
    </w:p>
    <w:p>
      <w:pPr>
        <w:ind w:left="360"/>
      </w:pPr>
      <w:r>
        <w:t xml:space="preserve">- </w:t>
      </w:r>
      <w:hyperlink w:history="1" r:id="rIdhgbh1mhpqver0c9chn5yg">
        <w:r>
          <w:rPr>
            <w:rStyle w:val="Hyperlink"/>
          </w:rPr>
          <w:t xml:space="preserve">Aircraft dispatcher — Wikipedia</w:t>
        </w:r>
      </w:hyperlink>
      <w:r>
        <w:t xml:space="preserve">. An overview   of the real profession Reza Haddad works in, including the joint dispatcher/captain   responsibility for a flight described in the Background section above.</w:t>
      </w:r>
    </w:p>
    <w:p>
      <w:pPr>
        <w:ind w:left="360"/>
      </w:pPr>
      <w:r>
        <w:t xml:space="preserve">- </w:t>
      </w:r>
      <w:hyperlink w:history="1" r:id="rIdebp3unlevongv4mmwmaei">
        <w:r>
          <w:rPr>
            <w:rStyle w:val="Hyperlink"/>
          </w:rPr>
          <w:t xml:space="preserve">Jet stream — Wikipedia</w:t>
        </w:r>
      </w:hyperlink>
      <w:r>
        <w:t xml:space="preserve">. An explanation of what a jet   stream physically is and why it speeds up eastbound flights and slows down westbound ones like   Meridian 412.</w:t>
      </w:r>
    </w:p>
    <w:p>
      <w:pPr>
        <w:ind w:left="360"/>
      </w:pPr>
      <w:r>
        <w:t xml:space="preserve">- </w:t>
      </w:r>
      <w:hyperlink w:history="1" r:id="rIdbsg4-rhl19l8edilqg3ob">
        <w:r>
          <w:rPr>
            <w:rStyle w:val="Hyperlink"/>
          </w:rPr>
          <w:t xml:space="preserve">Aviation Weather Center</w:t>
        </w:r>
      </w:hyperlink>
      <w:r>
        <w:t xml:space="preserve">. The live National Weather Service site   that publishes the same kind of winds-aloft forecast data used in Appendix B — a Hero can look up   today's actual jet-stream forecast here.</w:t>
      </w:r>
    </w:p>
    <w:p>
      <w:pPr>
        <w:ind w:left="360"/>
      </w:pPr>
      <w:r>
        <w:t xml:space="preserve">- </w:t>
      </w:r>
      <w:hyperlink w:history="1" r:id="rIdpv5c0bi47u58hejwnt5rj">
        <w:r>
          <w:rPr>
            <w:rStyle w:val="Hyperlink"/>
          </w:rPr>
          <w:t xml:space="preserve">Dot product — Wikipedia</w:t>
        </w:r>
      </w:hyperlink>
      <w:r>
        <w:t xml:space="preserve">. A fuller explanation of the   operation behind D3's wind-component calculation, including how it measures the part of one   vector that points in the direction of another.</w:t>
      </w:r>
    </w:p>
    <w:p>
      <w:pPr>
        <w:ind w:left="360"/>
      </w:pPr>
      <w:r>
        <w:t xml:space="preserve">- </w:t>
      </w:r>
      <w:hyperlink w:history="1" r:id="rIdqbimmlc5cg6dyrgjqnhev">
        <w:r>
          <w:rPr>
            <w:rStyle w:val="Hyperlink"/>
          </w:rPr>
          <w:t xml:space="preserve">Boeing 737 Next Generation — Wikipedia</w:t>
        </w:r>
      </w:hyperlink>
      <w:r>
        <w:t xml:space="preserve">.   Background on the aircraft family that includes the 737-800 flown on Meridian 412 (SEE APPENDIX   C).</w:t>
      </w:r>
    </w:p>
    <w:p>
      <w:pPr>
        <w:pStyle w:val="Heading2"/>
        <w:spacing w:after="120" w:before="240"/>
      </w:pPr>
      <w:r>
        <w:t xml:space="preserve">Appendix H — "How To…" Math Questions To Research</w:t>
      </w:r>
    </w:p>
    <w:p>
      <w:r>
        <w:rPr>
          <w:b/>
          <w:bCs/>
        </w:rPr>
        <w:t xml:space="preserve">Vocabulary terms</w:t>
      </w:r>
    </w:p>
    <w:p>
      <w:pPr>
        <w:ind w:left="360"/>
      </w:pPr>
      <w:r>
        <w:t xml:space="preserve">- Vector</w:t>
      </w:r>
    </w:p>
    <w:p>
      <w:pPr>
        <w:ind w:left="360"/>
      </w:pPr>
      <w:r>
        <w:t xml:space="preserve">- Magnitude (Of A Vector)</w:t>
      </w:r>
    </w:p>
    <w:p>
      <w:pPr>
        <w:ind w:left="360"/>
      </w:pPr>
      <w:r>
        <w:t xml:space="preserve">- Unit Vector</w:t>
      </w:r>
    </w:p>
    <w:p>
      <w:pPr>
        <w:ind w:left="360"/>
      </w:pPr>
      <w:r>
        <w:t xml:space="preserve">- Dot Product</w:t>
      </w:r>
    </w:p>
    <w:p>
      <w:pPr>
        <w:ind w:left="360"/>
      </w:pPr>
      <w:r>
        <w:t xml:space="preserve">- Pythagorean Theorem</w:t>
      </w:r>
    </w:p>
    <w:p>
      <w:pPr>
        <w:ind w:left="360"/>
      </w:pPr>
      <w:r>
        <w:t xml:space="preserve">- Right Triangle</w:t>
      </w:r>
    </w:p>
    <w:p>
      <w:r>
        <w:rPr>
          <w:b/>
          <w:bCs/>
        </w:rPr>
        <w:t xml:space="preserve">"How to…" questions</w:t>
      </w:r>
    </w:p>
    <w:p>
      <w:pPr>
        <w:ind w:left="360"/>
      </w:pPr>
      <w:r>
        <w:t xml:space="preserve">- How to find the magnitude and direction of a vector</w:t>
      </w:r>
    </w:p>
    <w:p>
      <w:pPr>
        <w:ind w:left="360"/>
      </w:pPr>
      <w:r>
        <w:t xml:space="preserve">- How to add and subtract vectors</w:t>
      </w:r>
    </w:p>
    <w:p>
      <w:pPr>
        <w:ind w:left="360"/>
      </w:pPr>
      <w:r>
        <w:t xml:space="preserve">- How to find the dot product of two vectors</w:t>
      </w:r>
    </w:p>
    <w:p>
      <w:pPr>
        <w:ind w:left="360"/>
      </w:pPr>
      <w:r>
        <w:t xml:space="preserve">- How to convert an amount with compound units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ue5lx5-c2guryk3he9n" Type="http://schemas.openxmlformats.org/officeDocument/2006/relationships/hyperlink" Target="https://aviationweather.gov/api/data/airport?ids=KJFK,KBUF,KDEN,KLAX,KLIT,KABQ,KONT&amp;format=json" TargetMode="External"/><Relationship Id="rIdfoba1bwhndanqi2zxa_1b" Type="http://schemas.openxmlformats.org/officeDocument/2006/relationships/hyperlink" Target="https://aviationweather.gov/api/data/airport?ids=KSFO,KDBQ,KMEM,KSLC,KCLE,KGLD,KSGF,KELP,KRNO,KFAT,KELY,KFMN,KALS,KGCK,KOAK,KSJC&amp;format=json" TargetMode="External"/><Relationship Id="rIddfamobp0mgoaxz5snqbyq" Type="http://schemas.openxmlformats.org/officeDocument/2006/relationships/hyperlink" Target="https://mesonet.agron.iastate.edu/wx/afos/p.php?pil=FD3US3&amp;e=202608122001" TargetMode="External"/><Relationship Id="rId_t1l3bg61yj2fkvuwevvm" Type="http://schemas.openxmlformats.org/officeDocument/2006/relationships/hyperlink" Target="https://learningzone.eurocontrol.int/ilp/customs/ATCPFDB/details.aspx?ICAO=B738" TargetMode="External"/><Relationship Id="rId9zixsuc_uuz6gvdhxynym" Type="http://schemas.openxmlformats.org/officeDocument/2006/relationships/hyperlink" Target="https://ansperformance.eu/economics/cba/standard-inputs/latest/chapters/rate_of_fuel_burn.html" TargetMode="External"/><Relationship Id="rIdxwk4c7hvfs8l24yst088p" Type="http://schemas.openxmlformats.org/officeDocument/2006/relationships/hyperlink" Target="https://www.ecfr.gov/api/renderer/v1/content/enhanced/current/title-14?chapter=I&amp;subchapter=G&amp;part=121&amp;subpart=U&amp;section=121.639" TargetMode="External"/><Relationship Id="rIdzpp3daohpyh0njoqetqqj" Type="http://schemas.openxmlformats.org/officeDocument/2006/relationships/hyperlink" Target="https://www.law.cornell.edu/cfr/text/14/121.639" TargetMode="External"/><Relationship Id="rIdomx8htbuhatvxavfm0bwv" Type="http://schemas.openxmlformats.org/officeDocument/2006/relationships/hyperlink" Target="https://www.eia.gov/dnav/pet/hist/LeafHandler.ashx?n=pet&amp;s=eer_epjk_pf4_rgc_dpg&amp;f=M" TargetMode="External"/><Relationship Id="rIducxbm7w-rxqvgv_bd3yp8" Type="http://schemas.openxmlformats.org/officeDocument/2006/relationships/hyperlink" Target="https://doi.org/10.1175/MWR-D-19-0229.1" TargetMode="External"/><Relationship Id="rIdhgbh1mhpqver0c9chn5yg" Type="http://schemas.openxmlformats.org/officeDocument/2006/relationships/hyperlink" Target="https://en.wikipedia.org/wiki/Aircraft_dispatcher" TargetMode="External"/><Relationship Id="rIdebp3unlevongv4mmwmaei" Type="http://schemas.openxmlformats.org/officeDocument/2006/relationships/hyperlink" Target="https://en.wikipedia.org/wiki/Jet_stream" TargetMode="External"/><Relationship Id="rIdbsg4-rhl19l8edilqg3ob" Type="http://schemas.openxmlformats.org/officeDocument/2006/relationships/hyperlink" Target="https://aviationweather.gov/" TargetMode="External"/><Relationship Id="rIdpv5c0bi47u58hejwnt5rj" Type="http://schemas.openxmlformats.org/officeDocument/2006/relationships/hyperlink" Target="https://en.wikipedia.org/wiki/Dot_product" TargetMode="External"/><Relationship Id="rIdqbimmlc5cg6dyrgjqnhev" Type="http://schemas.openxmlformats.org/officeDocument/2006/relationships/hyperlink" Target="https://en.wikipedia.org/wiki/Boeing_737_Next_Generation"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2026-08-18T07:44:11.587Z</dcterms:created>
  <dcterms:modified xsi:type="dcterms:W3CDTF">2026-08-18T07:44:11.588Z</dcterms:modified>
</cp:coreProperties>
</file>

<file path=docProps/custom.xml><?xml version="1.0" encoding="utf-8"?>
<Properties xmlns="http://schemas.openxmlformats.org/officeDocument/2006/custom-properties" xmlns:vt="http://schemas.openxmlformats.org/officeDocument/2006/docPropsVTypes"/>
</file>