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b/>
          <w:bCs/>
        </w:rPr>
        <w:t xml:space="preserve">Case Study: The Alert Curve</w:t>
      </w:r>
    </w:p>
    <w:p>
      <w:pPr>
        <w:spacing w:after="160"/>
      </w:pPr>
      <w:r>
        <w:rPr>
          <w:i/>
          <w:iCs/>
          <w:color w:val="5b6472"/>
        </w:rPr>
        <w:t xml:space="preserve">MS | Math | Case Study | 2026-27 | Heroes Academy</w:t>
      </w:r>
    </w:p>
    <w:p>
      <w:pPr>
        <w:pBdr>
          <w:bottom w:val="single" w:color="dfe4ea" w:sz="6" w:space="1"/>
        </w:pBdr>
        <w:spacing w:after="200"/>
      </w:pPr>
    </w:p>
    <w:p>
      <w:pPr>
        <w:pStyle w:val="Heading1"/>
        <w:spacing w:after="120" w:before="240"/>
      </w:pPr>
      <w:r>
        <w:t xml:space="preserve">Overview</w:t>
      </w:r>
    </w:p>
    <w:p>
      <w:pPr>
        <w:spacing w:after="160"/>
      </w:pPr>
      <w:r>
        <w:t xml:space="preserve">The dashboard's third monitor throws blue light across Jordan Lee's face, and the coffee next to his keyboard went cold an hour ago. It's the dead middle of the overnight shift, the SOC bullpen empty except for the hum of the server room through the wall, and the alert queue just kicked out a spike he can't ignore. Somewhere in the network, traffic to one edge node has been climbing for the last several minutes, and the automated dashboard just painted the tile red.</w:t>
      </w:r>
    </w:p>
    <w:p>
      <w:pPr>
        <w:spacing w:after="160"/>
      </w:pPr>
      <w:r>
        <w:t xml:space="preserve">Jordan's cursor hovers over two things at once: the escalation button that would put the on-call incident commander's phone buzzing on a nightstand three time zones away, and a second browser tab, still loading, where the SOC's own analytics console can plot the actual rate of change of that alert curve — traffic volume and threat score multiplied together, a real live function he could differentiate right now if he waits one more sampling interval for the data to fill in.</w:t>
      </w:r>
    </w:p>
    <w:p>
      <w:pPr>
        <w:spacing w:after="160"/>
      </w:pPr>
      <w:r>
        <w:t xml:space="preserve">He's been burned both ways before. The senior analyst who paged the incident commander over a traffic spike that turned out to be nothing. The other one — quieter, worse — who waited to be sure, and by the time anyone woke up, the real thing had already been running loose for longer than anyone wanted to admit.</w:t>
      </w:r>
    </w:p>
    <w:p>
      <w:pPr>
        <w:spacing w:after="160"/>
      </w:pPr>
      <w:r>
        <w:t xml:space="preserve">The red tile blinks. Jordan's hand is still on the mouse, hovering between the two tabs, deciding which one to click first.</w:t>
      </w:r>
    </w:p>
    <w:p>
      <w:pPr>
        <w:pStyle w:val="Heading1"/>
        <w:spacing w:after="120" w:before="240"/>
      </w:pPr>
      <w:r>
        <w:t xml:space="preserve">Background</w:t>
      </w:r>
    </w:p>
    <w:p>
      <w:pPr>
        <w:spacing w:after="160"/>
      </w:pPr>
      <w:r>
        <w:t xml:space="preserve">Jordan Lee is a Tier-2 Security Operations Center (SOC) analyst on the overnight shift at a financial-services company, responsible for triaging automated alerts before any human above him gets paged. Escalating incorrectly costs him credibility with the rest of the SOC team; missing or delaying a real escalation risks a live compromise inside a network that moves other people's money (SEE APPENDIX C).</w:t>
      </w:r>
    </w:p>
    <w:p>
      <w:pPr>
        <w:spacing w:after="160"/>
      </w:pPr>
      <w:r>
        <w:t xml:space="preserve">The SOC's monitoring platform tracks, for the edge node in question, two live quantities every sampling interval: traffic volume — the raw rate of incoming requests — and a threat score computed by the platform's detection engine from pattern-matching against known attack signatures. Together they define a composite alert-rate function: the number of automated alerts the system is generating per minute, equal to traffic volume multiplied by threat score at every instant (SEE APPENDIX A). Jordan has two ways to decide whether tonight's spike is real:</w:t>
      </w:r>
    </w:p>
    <w:p>
      <w:pPr>
        <w:spacing w:after="160"/>
      </w:pPr>
      <w:r>
        <w:rPr>
          <w:b/>
          <w:bCs/>
        </w:rPr>
        <w:t xml:space="preserve">Option A — The Threshold Trip. </w:t>
      </w:r>
      <w:r>
        <w:t xml:space="preserve">The platform already has a built-in rule: if the raw alert count in the current hour crosses a fixed threshold, escalate immediately, no further analysis required (SEE APPENDIX C).</w:t>
      </w:r>
    </w:p>
    <w:p>
      <w:pPr>
        <w:spacing w:after="160"/>
      </w:pPr>
      <w:r>
        <w:rPr>
          <w:b/>
          <w:bCs/>
        </w:rPr>
        <w:t xml:space="preserve">Option B — The Curve Check. </w:t>
      </w:r>
      <w:r>
        <w:t xml:space="preserve">Wait one more sampling interval, then use the composite alert-rate function's actual instantaneous rate of change — its derivative at this moment — to confirm the alert rate is truly accelerating, not just elevated by a volume spike that never touches the threat-scoring engine (SEE APPENDIX A).</w:t>
      </w:r>
    </w:p>
    <w:p>
      <w:pPr>
        <w:spacing w:after="160"/>
      </w:pPr>
      <w:r>
        <w:t xml:space="preserve">Both options work from the same underlying data; neither requires new instrumentation. What differs is timing and false-positive risk. The Threshold Trip escalates the instant the raw count crosses the line, whether the driver is a genuine coordinated attack or an ordinary traffic surge — a batch job, a marketing push, a monitoring tool's own polling — that happens to push the count over without the threat score ever moving. The Curve Check waits exactly one sampling interval (SEE APPENDIX C) before it can even evaluate a derivative, and during that wait a genuine accelerating attack keeps running, uninterrupted, for that same extra interval. Every escalation decision the SOC makes over a stretch of past shifts is logged, along with whether it was later confirmed a real incident (SEE APPENDIX D) — that log is what will ultimately show which policy actually protects the SOC's credibility and the company's exposure at once.</w:t>
      </w:r>
    </w:p>
    <w:p>
      <w:pPr>
        <w:spacing w:after="160"/>
      </w:pPr>
      <w:r>
        <w:t xml:space="preserve">All figures in this case are sourced in Appendix F, or stated as explicit modeling assumptions in Appendix E where no public figure exists. The vocabulary and the “how to…” skills this case will ask of you are listed in Appendix G — that is where Challenge 1 sends you.</w:t>
      </w:r>
    </w:p>
    <w:p>
      <w:pPr>
        <w:pStyle w:val="Heading1"/>
        <w:spacing w:after="120" w:before="240"/>
      </w:pPr>
      <w:r>
        <w:t xml:space="preserve">Dilemma</w:t>
      </w:r>
    </w:p>
    <w:p>
      <w:pPr>
        <w:spacing w:after="160"/>
      </w:pPr>
      <w:r>
        <w:rPr>
          <w:b/>
          <w:bCs/>
        </w:rPr>
        <w:t xml:space="preserve">You are Jordan Lee.</w:t>
      </w:r>
    </w:p>
    <w:p>
      <w:pPr>
        <w:spacing w:after="160"/>
      </w:pPr>
      <w:r>
        <w:t xml:space="preserve">Do you:</w:t>
      </w:r>
    </w:p>
    <w:p>
      <w:pPr>
        <w:spacing w:after="160"/>
      </w:pPr>
      <w:r>
        <w:t xml:space="preserve">A.) Escalate now under the Threshold Trip — the raw alert count this hour has already crossed the threshold</w:t>
      </w:r>
    </w:p>
    <w:p>
      <w:pPr>
        <w:spacing w:after="160"/>
      </w:pPr>
      <w:r>
        <w:rPr>
          <w:b/>
          <w:bCs/>
        </w:rPr>
        <w:t xml:space="preserve">OR</w:t>
      </w:r>
    </w:p>
    <w:p>
      <w:pPr>
        <w:spacing w:after="160"/>
      </w:pPr>
      <w:r>
        <w:t xml:space="preserve">B.) Hold for the Curve Check — wait one more sampling interval and confirm the alert rate is truly accelerating before escalating</w:t>
      </w:r>
    </w:p>
    <w:p>
      <w:pPr>
        <w:pStyle w:val="Heading1"/>
        <w:spacing w:after="120" w:before="240"/>
      </w:pPr>
      <w:r>
        <w:t xml:space="preserve">Challenges</w:t>
      </w:r>
    </w:p>
    <w:p>
      <w:pPr>
        <w:spacing w:after="160"/>
      </w:pPr>
      <w:r>
        <w:t xml:space="preserve">1.) Research and find an online resource that answers one of the “how to…” questions from the case study launch. Post a link to the resource as your submission.</w:t>
      </w:r>
    </w:p>
    <w:p>
      <w:pPr>
        <w:spacing w:after="160"/>
      </w:pPr>
      <w:r>
        <w:t xml:space="preserve">2.) Post 250 or more “excellent” words pitching a firm stance to your audience on which you would choose and why. Your pitch must include:</w:t>
      </w:r>
    </w:p>
    <w:p>
      <w:pPr>
        <w:spacing w:after="160"/>
      </w:pPr>
      <w:r>
        <w:t xml:space="preserve">    a.) Use of the “how to…” resource you researched in Challenge 1.</w:t>
      </w:r>
    </w:p>
    <w:p>
      <w:pPr>
        <w:spacing w:after="160"/>
      </w:pPr>
      <w:r>
        <w:t xml:space="preserve">    b.) At least one original visual display of the data.</w:t>
      </w:r>
    </w:p>
    <w:p>
      <w:pPr>
        <w:spacing w:after="160"/>
      </w:pPr>
      <w:r>
        <w:t xml:space="preserve">3.) Your pitch must include:</w:t>
      </w:r>
    </w:p>
    <w:p>
      <w:pPr>
        <w:spacing w:after="160"/>
      </w:pPr>
      <w:r>
        <w:t xml:space="preserve">    D1. A full symbolic derivation of dS/dt — the threat score's rate of change — using the chain rule, with the composite's outer function and inner function explicitly identified (Appendix A).</w:t>
      </w:r>
    </w:p>
    <w:p>
      <w:pPr>
        <w:spacing w:after="160"/>
      </w:pPr>
      <w:r>
        <w:t xml:space="preserve">    D2. A full symbolic derivation of dA/dt — the alert rate's rate of change — using the product rule on A(t) = V(t) · S(t), substituting D1's chain-rule result for dS/dt (Appendix A).</w:t>
      </w:r>
    </w:p>
    <w:p>
      <w:pPr>
        <w:spacing w:after="160"/>
      </w:pPr>
      <w:r>
        <w:t xml:space="preserve">    D3. A written justification, using the definition of differentiable, of why the SOC's raw minute-by-minute alert count cannot supply a true instantaneous rate of change, and why the continuous composite model A(t) can (Appendix B).</w:t>
      </w:r>
    </w:p>
    <w:p>
      <w:pPr>
        <w:spacing w:after="160"/>
      </w:pPr>
      <w:r>
        <w:t xml:space="preserve">    D4. The equation of the tangent line to A(t) at the current sampling instant t0, using D2's dA/dt as its slope, and what that tangent line predicts for A at the next sampling instant (Appendix C).</w:t>
      </w:r>
    </w:p>
    <w:p>
      <w:pPr>
        <w:spacing w:after="160"/>
      </w:pPr>
      <w:r>
        <w:t xml:space="preserve">    D5. A confirmed-incidents-per-false-escalation ratio for the Threshold Trip policy and for the Curve Check policy, computed from Appendix D's historical log by classifying each past interval under both policies' rules — Appendix C's threshold for Threshold Trip, the sign of the D4-style tangent-line slope at confirmation for Curve Check — with the percentage margin between the two ratios and a recommendation.</w:t>
      </w:r>
    </w:p>
    <w:p>
      <w:pPr>
        <w:spacing w:after="160"/>
      </w:pPr>
      <w:r>
        <w:t xml:space="preserve">4.) An appendix showing evidence of your original thinking, work, calculations and processes you used to complete the challenges (pictures, screenshots, notes, etc.). Your work in the appendix does not count toward your word count.</w:t>
      </w:r>
    </w:p>
    <w:p>
      <w:pPr>
        <w:spacing w:after="160"/>
      </w:pPr>
      <w:r>
        <w:t xml:space="preserve">5.) Participate twice or more in the Case Study discussion. *If you are absent the day of a discussion post 500 “excellent” words on the questions above.</w:t>
      </w:r>
    </w:p>
    <w:p>
      <w:r>
        <w:br w:type="page"/>
      </w:r>
    </w:p>
    <w:p>
      <w:pPr>
        <w:pStyle w:val="Heading1"/>
        <w:spacing w:after="120" w:before="240"/>
      </w:pPr>
      <w:r>
        <w:t xml:space="preserve">Appendix A — The Composite Alert-Rate Model</w:t>
      </w:r>
    </w:p>
    <w:p>
      <w:pPr>
        <w:spacing w:after="160"/>
      </w:pPr>
      <w:r>
        <w:t xml:space="preserve">Let t be the number of minutes elapsed since the start of the current one-hour monitoring window, with t0 the instant Jordan is deciding, “now.”</w:t>
      </w:r>
    </w:p>
    <w:p>
      <w:pPr>
        <w:spacing w:after="160"/>
      </w:pPr>
      <w:r>
        <w:rPr>
          <w:b/>
          <w:bCs/>
        </w:rPr>
        <w:t xml:space="preserve">Traffic volume</w:t>
      </w:r>
      <w:r>
        <w:t xml:space="preserve"> — the raw rate of incoming requests to the edge node, in requests per minute — is modeled as a smooth function of time:</w:t>
      </w:r>
    </w:p>
    <w:p>
      <w:pPr>
        <w:spacing w:after="160"/>
      </w:pPr>
      <w:r>
        <w:rPr>
          <w:i/>
          <w:iCs/>
        </w:rPr>
        <w:t xml:space="preserve">V(t) = p·t² + q·t + r</w:t>
      </w:r>
    </w:p>
    <w:p>
      <w:pPr>
        <w:spacing w:after="160"/>
      </w:pPr>
      <w:r>
        <w:rPr>
          <w:b/>
          <w:bCs/>
        </w:rPr>
        <w:t xml:space="preserve">Threat score</w:t>
      </w:r>
      <w:r>
        <w:t xml:space="preserve"> is not measured directly; it is computed by the detection engine in two steps, which is exactly why it is a composite function. First, the engine tallies a raw pattern-match count against known attack signatures, rising over time:</w:t>
      </w:r>
    </w:p>
    <w:p>
      <w:pPr>
        <w:spacing w:after="160"/>
      </w:pPr>
      <w:r>
        <w:rPr>
          <w:i/>
          <w:iCs/>
        </w:rPr>
        <w:t xml:space="preserve">g(t) = k·t + m          (inner function — raw pattern-match count)</w:t>
      </w:r>
    </w:p>
    <w:p>
      <w:pPr>
        <w:spacing w:after="160"/>
      </w:pPr>
      <w:r>
        <w:t xml:space="preserve">Second, the engine runs that raw count through a diminishing-returns scoring transform to produce the threat score itself:</w:t>
      </w:r>
    </w:p>
    <w:p>
      <w:pPr>
        <w:spacing w:after="160"/>
      </w:pPr>
      <w:r>
        <w:rPr>
          <w:i/>
          <w:iCs/>
        </w:rPr>
        <w:t xml:space="preserve">f(x) = c·√x             (outer function — the scoring transform)</w:t>
      </w:r>
    </w:p>
    <w:p>
      <w:pPr>
        <w:spacing w:after="160"/>
      </w:pPr>
      <w:r>
        <w:rPr>
          <w:i/>
          <w:iCs/>
        </w:rPr>
        <w:t xml:space="preserve">S(t) = f(g(t)) = c·√(k·t + m)</w:t>
      </w:r>
    </w:p>
    <w:p>
      <w:pPr>
        <w:spacing w:after="160"/>
      </w:pPr>
      <w:r>
        <w:rPr>
          <w:b/>
          <w:bCs/>
        </w:rPr>
        <w:t xml:space="preserve">The composite alert-rate function</w:t>
      </w:r>
      <w:r>
        <w:t xml:space="preserve">, the number this case is actually about, is the product of the two:</w:t>
      </w:r>
    </w:p>
    <w:p>
      <w:pPr>
        <w:spacing w:after="160"/>
      </w:pPr>
      <w:r>
        <w:rPr>
          <w:i/>
          <w:iCs/>
        </w:rPr>
        <w:t xml:space="preserve">A(t) = V(t) · S(t)</w:t>
      </w:r>
    </w:p>
    <w:p>
      <w:pPr>
        <w:spacing w:after="160"/>
      </w:pPr>
      <w:r>
        <w:t xml:space="preserve">Differentiating A(t) requires the product rule (A is a product of V and S), and inside that, differentiating S(t) requires the chain rule (S is a composition of f and g) — this single function is deliberately built to force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shd w:fill="1a3a5c" w:color="auto" w:val="clear"/>
          </w:tcPr>
          <w:p>
            <w:r>
              <w:rPr>
                <w:b/>
                <w:bCs/>
                <w:color w:val="FFFFFF"/>
              </w:rPr>
              <w:t xml:space="preserve">Coefficient</w:t>
            </w:r>
          </w:p>
        </w:tc>
        <w:tc>
          <w:tcPr>
            <w:tcW w:type="dxa" w:w="4160"/>
            <w:shd w:fill="1a3a5c" w:color="auto" w:val="clear"/>
          </w:tcPr>
          <w:p>
            <w:r>
              <w:rPr>
                <w:b/>
                <w:bCs/>
                <w:color w:val="FFFFFF"/>
              </w:rPr>
              <w:t xml:space="preserve">Meaning</w:t>
            </w:r>
          </w:p>
        </w:tc>
        <w:tc>
          <w:tcPr>
            <w:tcW w:type="dxa" w:w="3000"/>
            <w:shd w:fill="1a3a5c" w:color="auto" w:val="clear"/>
          </w:tcPr>
          <w:p>
            <w:r>
              <w:rPr>
                <w:b/>
                <w:bCs/>
                <w:color w:val="FFFFFF"/>
              </w:rPr>
              <w:t xml:space="preserve">Value</w:t>
            </w:r>
          </w:p>
        </w:tc>
      </w:tr>
      <w:tr>
        <w:tc>
          <w:tcPr>
            <w:tcW w:type="dxa" w:w="2200"/>
          </w:tcPr>
          <w:p>
            <w:pPr>
              <w:jc w:val="left"/>
            </w:pPr>
            <w:r>
              <w:rPr>
                <w:b w:val="false"/>
                <w:bCs w:val="false"/>
              </w:rPr>
              <w:t xml:space="preserve">p, q, r</w:t>
            </w:r>
          </w:p>
        </w:tc>
        <w:tc>
          <w:tcPr>
            <w:tcW w:type="dxa" w:w="4160"/>
          </w:tcPr>
          <w:p>
            <w:pPr>
              <w:jc w:val="left"/>
            </w:pPr>
            <w:r>
              <w:rPr>
                <w:b w:val="false"/>
                <w:bCs w:val="false"/>
              </w:rPr>
              <w:t xml:space="preserve">Traffic-volume model coefficients</w:t>
            </w:r>
          </w:p>
        </w:tc>
        <w:tc>
          <w:tcPr>
            <w:tcW w:type="dxa" w:w="3000"/>
          </w:tcPr>
          <w:p>
            <w:pPr>
              <w:jc w:val="left"/>
            </w:pPr>
            <w:r>
              <w:rPr>
                <w:b w:val="false"/>
                <w:bCs w:val="false"/>
              </w:rPr>
              <w:t xml:space="preserve">p = 0.4, q = 15, r = 800 (requests/min) — Modeling Assumption MA1 (SEE APPENDIX E)</w:t>
            </w:r>
          </w:p>
        </w:tc>
      </w:tr>
      <w:tr>
        <w:tc>
          <w:tcPr>
            <w:tcW w:type="dxa" w:w="2200"/>
          </w:tcPr>
          <w:p>
            <w:pPr>
              <w:jc w:val="left"/>
            </w:pPr>
            <w:r>
              <w:rPr>
                <w:b w:val="false"/>
                <w:bCs w:val="false"/>
              </w:rPr>
              <w:t xml:space="preserve">k, m</w:t>
            </w:r>
          </w:p>
        </w:tc>
        <w:tc>
          <w:tcPr>
            <w:tcW w:type="dxa" w:w="4160"/>
          </w:tcPr>
          <w:p>
            <w:pPr>
              <w:jc w:val="left"/>
            </w:pPr>
            <w:r>
              <w:rPr>
                <w:b w:val="false"/>
                <w:bCs w:val="false"/>
              </w:rPr>
              <w:t xml:space="preserve">Inner function coefficients (pattern-match count accumulation rate and starting count)</w:t>
            </w:r>
          </w:p>
        </w:tc>
        <w:tc>
          <w:tcPr>
            <w:tcW w:type="dxa" w:w="3000"/>
          </w:tcPr>
          <w:p>
            <w:pPr>
              <w:jc w:val="left"/>
            </w:pPr>
            <w:r>
              <w:rPr>
                <w:b w:val="false"/>
                <w:bCs w:val="false"/>
              </w:rPr>
              <w:t xml:space="preserve">k = 3, m = 20 — Modeling Assumption MA2 (SEE APPENDIX E)</w:t>
            </w:r>
          </w:p>
        </w:tc>
      </w:tr>
      <w:tr>
        <w:tc>
          <w:tcPr>
            <w:tcW w:type="dxa" w:w="2200"/>
          </w:tcPr>
          <w:p>
            <w:pPr>
              <w:jc w:val="left"/>
            </w:pPr>
            <w:r>
              <w:rPr>
                <w:b w:val="false"/>
                <w:bCs w:val="false"/>
              </w:rPr>
              <w:t xml:space="preserve">c</w:t>
            </w:r>
          </w:p>
        </w:tc>
        <w:tc>
          <w:tcPr>
            <w:tcW w:type="dxa" w:w="4160"/>
          </w:tcPr>
          <w:p>
            <w:pPr>
              <w:jc w:val="left"/>
            </w:pPr>
            <w:r>
              <w:rPr>
                <w:b w:val="false"/>
                <w:bCs w:val="false"/>
              </w:rPr>
              <w:t xml:space="preserve">Outer function scaling coefficient (scoring transform)</w:t>
            </w:r>
          </w:p>
        </w:tc>
        <w:tc>
          <w:tcPr>
            <w:tcW w:type="dxa" w:w="3000"/>
          </w:tcPr>
          <w:p>
            <w:pPr>
              <w:jc w:val="left"/>
            </w:pPr>
            <w:r>
              <w:rPr>
                <w:b w:val="false"/>
                <w:bCs w:val="false"/>
              </w:rPr>
              <w:t xml:space="preserve">c = 6 — Modeling Assumption MA3 (SEE APPENDIX E)</w:t>
            </w:r>
          </w:p>
        </w:tc>
      </w:tr>
    </w:tbl>
    <w:p>
      <w:pPr>
        <w:spacing w:before="160"/>
      </w:pPr>
      <w:r>
        <w:rPr>
          <w:i/>
          <w:iCs/>
          <w:color w:val="5b6472"/>
          <w:sz w:val="18"/>
          <w:szCs w:val="18"/>
        </w:rPr>
        <w:t xml:space="preserve">Referenced from Background and Challenges D1, D2, D3, D4, D5.</w:t>
      </w:r>
    </w:p>
    <w:p>
      <w:pPr>
        <w:pStyle w:val="Heading1"/>
        <w:spacing w:after="120" w:before="240"/>
      </w:pPr>
      <w:r>
        <w:t xml:space="preserve">Appendix B — Why the Raw Count Isn't Differentiable</w:t>
      </w:r>
    </w:p>
    <w:p>
      <w:pPr>
        <w:spacing w:after="160"/>
      </w:pPr>
      <w:r>
        <w:t xml:space="preserve">The SOC's dashboard displays the raw alert count as a running tally, incremented by whole numbers only at the instant each individual alert fires — a step function in time, not a smooth curve. A step function has no defined instantaneous rate of change at the instant it jumps: no tangent line exists there, because the function is not differentiable at that point.</w:t>
      </w:r>
    </w:p>
    <w:p>
      <w:pPr>
        <w:spacing w:after="160"/>
      </w:pPr>
      <w:r>
        <w:t xml:space="preserve">The composite alert-rate function A(t) built from the platform's underlying continuous telemetry (Appendix A) is a different object. Because V(t) and S(t) are each differentiable at every t, and because a product and a composition of functions that are differentiable everywhere is itself differentiable everywhere both pieces are, A(t) is differentiable across the whole sampling window. That gap — a step function with no instantaneous rate of change anywhere, versus a continuous model that has one everywhere — is exactly what the Curve Check policy exploits and the Threshold Trip policy cannot: only a differentiable function has an instantaneous rate of change to compute in the first place.</w:t>
      </w:r>
    </w:p>
    <w:p>
      <w:pPr>
        <w:spacing w:after="160"/>
      </w:pPr>
      <w:r>
        <w:rPr>
          <w:i/>
          <w:iCs/>
          <w:color w:val="5b6472"/>
          <w:sz w:val="18"/>
          <w:szCs w:val="18"/>
        </w:rPr>
        <w:t xml:space="preserve">Referenced from Background and Challenge D3.</w:t>
      </w:r>
    </w:p>
    <w:p>
      <w:pPr>
        <w:pStyle w:val="Heading1"/>
        <w:spacing w:after="120" w:before="240"/>
      </w:pPr>
      <w:r>
        <w:t xml:space="preserve">Appendix C — Escalation Policy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shd w:fill="1a3a5c" w:color="auto" w:val="clear"/>
          </w:tcPr>
          <w:p>
            <w:r>
              <w:rPr>
                <w:b/>
                <w:bCs/>
                <w:color w:val="FFFFFF"/>
              </w:rPr>
              <w:t xml:space="preserve">Quantity</w:t>
            </w:r>
          </w:p>
        </w:tc>
        <w:tc>
          <w:tcPr>
            <w:tcW w:type="dxa" w:w="3680"/>
            <w:shd w:fill="1a3a5c" w:color="auto" w:val="clear"/>
          </w:tcPr>
          <w:p>
            <w:r>
              <w:rPr>
                <w:b/>
                <w:bCs/>
                <w:color w:val="FFFFFF"/>
              </w:rPr>
              <w:t xml:space="preserve">Value</w:t>
            </w:r>
          </w:p>
        </w:tc>
      </w:tr>
      <w:tr>
        <w:tc>
          <w:tcPr>
            <w:tcW w:type="dxa" w:w="5680"/>
          </w:tcPr>
          <w:p>
            <w:pPr>
              <w:jc w:val="left"/>
            </w:pPr>
            <w:r>
              <w:rPr>
                <w:b w:val="false"/>
                <w:bCs w:val="false"/>
              </w:rPr>
              <w:t xml:space="preserve">Threshold, raw alerts/hour that triggers the Threshold Trip</w:t>
            </w:r>
          </w:p>
        </w:tc>
        <w:tc>
          <w:tcPr>
            <w:tcW w:type="dxa" w:w="3680"/>
          </w:tcPr>
          <w:p>
            <w:pPr>
              <w:jc w:val="left"/>
            </w:pPr>
            <w:r>
              <w:rPr>
                <w:b w:val="false"/>
                <w:bCs w:val="false"/>
              </w:rPr>
              <w:t xml:space="preserve">500 alerts/hour — Modeling Assumption MA4</w:t>
            </w:r>
          </w:p>
        </w:tc>
      </w:tr>
      <w:tr>
        <w:tc>
          <w:tcPr>
            <w:tcW w:type="dxa" w:w="5680"/>
          </w:tcPr>
          <w:p>
            <w:pPr>
              <w:jc w:val="left"/>
            </w:pPr>
            <w:r>
              <w:rPr>
                <w:b w:val="false"/>
                <w:bCs w:val="false"/>
              </w:rPr>
              <w:t xml:space="preserve">Sampling interval length, minutes (the wait required by the Curve Check)</w:t>
            </w:r>
          </w:p>
        </w:tc>
        <w:tc>
          <w:tcPr>
            <w:tcW w:type="dxa" w:w="3680"/>
          </w:tcPr>
          <w:p>
            <w:pPr>
              <w:jc w:val="left"/>
            </w:pPr>
            <w:r>
              <w:rPr>
                <w:b w:val="false"/>
                <w:bCs w:val="false"/>
              </w:rPr>
              <w:t xml:space="preserve">5 minutes [S1]</w:t>
            </w:r>
          </w:p>
        </w:tc>
      </w:tr>
      <w:tr>
        <w:tc>
          <w:tcPr>
            <w:tcW w:type="dxa" w:w="5680"/>
          </w:tcPr>
          <w:p>
            <w:pPr>
              <w:jc w:val="left"/>
            </w:pPr>
            <w:r>
              <w:rPr>
                <w:b w:val="false"/>
                <w:bCs w:val="false"/>
              </w:rPr>
              <w:t xml:space="preserve">Current sampling instant t0, minutes into the monitoring window</w:t>
            </w:r>
          </w:p>
        </w:tc>
        <w:tc>
          <w:tcPr>
            <w:tcW w:type="dxa" w:w="3680"/>
          </w:tcPr>
          <w:p>
            <w:pPr>
              <w:jc w:val="left"/>
            </w:pPr>
            <w:r>
              <w:rPr>
                <w:b w:val="false"/>
                <w:bCs w:val="false"/>
              </w:rPr>
              <w:t xml:space="preserve">42 minutes — Modeling Assumption MA5</w:t>
            </w:r>
          </w:p>
        </w:tc>
      </w:tr>
      <w:tr>
        <w:tc>
          <w:tcPr>
            <w:tcW w:type="dxa" w:w="5680"/>
          </w:tcPr>
          <w:p>
            <w:pPr>
              <w:jc w:val="left"/>
            </w:pPr>
            <w:r>
              <w:rPr>
                <w:b w:val="false"/>
                <w:bCs w:val="false"/>
              </w:rPr>
              <w:t xml:space="preserve">Mean time to detect (MTTD) a real security incident, industry benchmark</w:t>
            </w:r>
          </w:p>
        </w:tc>
        <w:tc>
          <w:tcPr>
            <w:tcW w:type="dxa" w:w="3680"/>
          </w:tcPr>
          <w:p>
            <w:pPr>
              <w:jc w:val="left"/>
            </w:pPr>
            <w:r>
              <w:rPr>
                <w:b w:val="false"/>
                <w:bCs w:val="false"/>
              </w:rPr>
              <w:t xml:space="preserve">247 days (mean time to identify and contain, global average) [S2]</w:t>
            </w:r>
          </w:p>
        </w:tc>
      </w:tr>
    </w:tbl>
    <w:p>
      <w:pPr>
        <w:spacing w:after="160" w:before="160"/>
      </w:pPr>
      <w:r>
        <w:t xml:space="preserve">The MTTD figure anchors why the extra sampling interval the Curve Check spends confirming is a real, non-trivial cost against real industry detection timelines, not a free wait.</w:t>
      </w:r>
    </w:p>
    <w:p>
      <w:pPr>
        <w:spacing w:after="160"/>
      </w:pPr>
      <w:r>
        <w:rPr>
          <w:i/>
          <w:iCs/>
          <w:color w:val="5b6472"/>
          <w:sz w:val="18"/>
          <w:szCs w:val="18"/>
        </w:rPr>
        <w:t xml:space="preserve">Referenced from Background and Challenge D4.</w:t>
      </w:r>
    </w:p>
    <w:p>
      <w:pPr>
        <w:pStyle w:val="Heading1"/>
        <w:spacing w:after="120" w:before="240"/>
      </w:pPr>
      <w:r>
        <w:t xml:space="preserve">Appendix D — Historical Escalation Outcome Log</w:t>
      </w:r>
    </w:p>
    <w:p>
      <w:pPr>
        <w:spacing w:after="160"/>
      </w:pPr>
      <w:r>
        <w:t xml:space="preserve">A log of past shifts' escalation decisions, used to compute Challenge D5's confirmed-incidents-per-false-escalation ratio for each policy. “Crossed threshold?” applies the Threshold Trip's rule from Appendix C; “sign of dA/dt at confirmation” applies the Curve Check's rule from Appendix A, evaluated one sampling interval after the alert first appeared. The log spans just over two full overnight shifts rather than one, so the ratio each policy is graded on rests on more than a handful of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1800"/>
        <w:gridCol w:w="2200"/>
        <w:gridCol w:w="2000"/>
      </w:tblGrid>
      <w:tr>
        <w:trPr>
          <w:tblHeader/>
        </w:trPr>
        <w:tc>
          <w:tcPr>
            <w:tcW w:type="dxa" w:w="1360"/>
            <w:shd w:fill="1a3a5c" w:color="auto" w:val="clear"/>
          </w:tcPr>
          <w:p>
            <w:r>
              <w:rPr>
                <w:b/>
                <w:bCs/>
                <w:color w:val="FFFFFF"/>
              </w:rPr>
              <w:t xml:space="preserve">Past interval</w:t>
            </w:r>
          </w:p>
        </w:tc>
        <w:tc>
          <w:tcPr>
            <w:tcW w:type="dxa" w:w="2000"/>
            <w:shd w:fill="1a3a5c" w:color="auto" w:val="clear"/>
          </w:tcPr>
          <w:p>
            <w:r>
              <w:rPr>
                <w:b/>
                <w:bCs/>
                <w:color w:val="FFFFFF"/>
              </w:rPr>
              <w:t xml:space="preserve">Raw alert count this hour</w:t>
            </w:r>
          </w:p>
        </w:tc>
        <w:tc>
          <w:tcPr>
            <w:tcW w:type="dxa" w:w="1800"/>
            <w:shd w:fill="1a3a5c" w:color="auto" w:val="clear"/>
          </w:tcPr>
          <w:p>
            <w:r>
              <w:rPr>
                <w:b/>
                <w:bCs/>
                <w:color w:val="FFFFFF"/>
              </w:rPr>
              <w:t xml:space="preserve">Crossed threshold?</w:t>
            </w:r>
          </w:p>
        </w:tc>
        <w:tc>
          <w:tcPr>
            <w:tcW w:type="dxa" w:w="2200"/>
            <w:shd w:fill="1a3a5c" w:color="auto" w:val="clear"/>
          </w:tcPr>
          <w:p>
            <w:r>
              <w:rPr>
                <w:b/>
                <w:bCs/>
                <w:color w:val="FFFFFF"/>
              </w:rPr>
              <w:t xml:space="preserve">Sign of dA/dt at confirmation</w:t>
            </w:r>
          </w:p>
        </w:tc>
        <w:tc>
          <w:tcPr>
            <w:tcW w:type="dxa" w:w="2000"/>
            <w:shd w:fill="1a3a5c" w:color="auto" w:val="clear"/>
          </w:tcPr>
          <w:p>
            <w:r>
              <w:rPr>
                <w:b/>
                <w:bCs/>
                <w:color w:val="FFFFFF"/>
              </w:rPr>
              <w:t xml:space="preserve">Later confirmed a real incident?</w:t>
            </w:r>
          </w:p>
        </w:tc>
      </w:tr>
      <w:tr>
        <w:tc>
          <w:tcPr>
            <w:tcW w:type="dxa" w:w="1360"/>
          </w:tcPr>
          <w:p>
            <w:pPr>
              <w:jc w:val="left"/>
            </w:pPr>
            <w:r>
              <w:rPr>
                <w:b w:val="false"/>
                <w:bCs w:val="false"/>
              </w:rPr>
              <w:t xml:space="preserve">1</w:t>
            </w:r>
          </w:p>
        </w:tc>
        <w:tc>
          <w:tcPr>
            <w:tcW w:type="dxa" w:w="2000"/>
          </w:tcPr>
          <w:p>
            <w:pPr>
              <w:jc w:val="left"/>
            </w:pPr>
            <w:r>
              <w:rPr>
                <w:b w:val="false"/>
                <w:bCs w:val="false"/>
              </w:rPr>
              <w:t xml:space="preserve">610</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2</w:t>
            </w:r>
          </w:p>
        </w:tc>
        <w:tc>
          <w:tcPr>
            <w:tcW w:type="dxa" w:w="2000"/>
          </w:tcPr>
          <w:p>
            <w:pPr>
              <w:jc w:val="left"/>
            </w:pPr>
            <w:r>
              <w:rPr>
                <w:b w:val="false"/>
                <w:bCs w:val="false"/>
              </w:rPr>
              <w:t xml:space="preserve">635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3</w:t>
            </w:r>
          </w:p>
        </w:tc>
        <w:tc>
          <w:tcPr>
            <w:tcW w:type="dxa" w:w="2000"/>
          </w:tcPr>
          <w:p>
            <w:pPr>
              <w:jc w:val="left"/>
            </w:pPr>
            <w:r>
              <w:rPr>
                <w:b w:val="false"/>
                <w:bCs w:val="false"/>
              </w:rPr>
              <w:t xml:space="preserve">730</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4</w:t>
            </w:r>
          </w:p>
        </w:tc>
        <w:tc>
          <w:tcPr>
            <w:tcW w:type="dxa" w:w="2000"/>
          </w:tcPr>
          <w:p>
            <w:pPr>
              <w:jc w:val="left"/>
            </w:pPr>
            <w:r>
              <w:rPr>
                <w:b w:val="false"/>
                <w:bCs w:val="false"/>
              </w:rPr>
              <w:t xml:space="preserve">515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r>
        <w:tc>
          <w:tcPr>
            <w:tcW w:type="dxa" w:w="1360"/>
          </w:tcPr>
          <w:p>
            <w:pPr>
              <w:jc w:val="left"/>
            </w:pPr>
            <w:r>
              <w:rPr>
                <w:b w:val="false"/>
                <w:bCs w:val="false"/>
              </w:rPr>
              <w:t xml:space="preserve">5</w:t>
            </w:r>
          </w:p>
        </w:tc>
        <w:tc>
          <w:tcPr>
            <w:tcW w:type="dxa" w:w="2000"/>
          </w:tcPr>
          <w:p>
            <w:pPr>
              <w:jc w:val="left"/>
            </w:pPr>
            <w:r>
              <w:rPr>
                <w:b w:val="false"/>
                <w:bCs w:val="false"/>
              </w:rPr>
              <w:t xml:space="preserve">410</w:t>
            </w:r>
          </w:p>
        </w:tc>
        <w:tc>
          <w:tcPr>
            <w:tcW w:type="dxa" w:w="1800"/>
          </w:tcPr>
          <w:p>
            <w:pPr>
              <w:jc w:val="left"/>
            </w:pPr>
            <w:r>
              <w:rPr>
                <w:b w:val="false"/>
                <w:bCs w:val="false"/>
              </w:rPr>
              <w:t xml:space="preserve">No</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6</w:t>
            </w:r>
          </w:p>
        </w:tc>
        <w:tc>
          <w:tcPr>
            <w:tcW w:type="dxa" w:w="2000"/>
          </w:tcPr>
          <w:p>
            <w:pPr>
              <w:jc w:val="left"/>
            </w:pPr>
            <w:r>
              <w:rPr>
                <w:b w:val="false"/>
                <w:bCs w:val="false"/>
              </w:rPr>
              <w:t xml:space="preserve">555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r>
        <w:tc>
          <w:tcPr>
            <w:tcW w:type="dxa" w:w="1360"/>
          </w:tcPr>
          <w:p>
            <w:pPr>
              <w:jc w:val="left"/>
            </w:pPr>
            <w:r>
              <w:rPr>
                <w:b w:val="false"/>
                <w:bCs w:val="false"/>
              </w:rPr>
              <w:t xml:space="preserve">7</w:t>
            </w:r>
          </w:p>
        </w:tc>
        <w:tc>
          <w:tcPr>
            <w:tcW w:type="dxa" w:w="2000"/>
          </w:tcPr>
          <w:p>
            <w:pPr>
              <w:jc w:val="left"/>
            </w:pPr>
            <w:r>
              <w:rPr>
                <w:b w:val="false"/>
                <w:bCs w:val="false"/>
              </w:rPr>
              <w:t xml:space="preserve">675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8</w:t>
            </w:r>
          </w:p>
        </w:tc>
        <w:tc>
          <w:tcPr>
            <w:tcW w:type="dxa" w:w="2000"/>
          </w:tcPr>
          <w:p>
            <w:pPr>
              <w:jc w:val="left"/>
            </w:pPr>
            <w:r>
              <w:rPr>
                <w:b w:val="false"/>
                <w:bCs w:val="false"/>
              </w:rPr>
              <w:t xml:space="preserve">695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9</w:t>
            </w:r>
          </w:p>
        </w:tc>
        <w:tc>
          <w:tcPr>
            <w:tcW w:type="dxa" w:w="2000"/>
          </w:tcPr>
          <w:p>
            <w:pPr>
              <w:jc w:val="left"/>
            </w:pPr>
            <w:r>
              <w:rPr>
                <w:b w:val="false"/>
                <w:bCs w:val="false"/>
              </w:rPr>
              <w:t xml:space="preserve">545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r>
        <w:tc>
          <w:tcPr>
            <w:tcW w:type="dxa" w:w="1360"/>
          </w:tcPr>
          <w:p>
            <w:pPr>
              <w:jc w:val="left"/>
            </w:pPr>
            <w:r>
              <w:rPr>
                <w:b w:val="false"/>
                <w:bCs w:val="false"/>
              </w:rPr>
              <w:t xml:space="preserve">10</w:t>
            </w:r>
          </w:p>
        </w:tc>
        <w:tc>
          <w:tcPr>
            <w:tcW w:type="dxa" w:w="2000"/>
          </w:tcPr>
          <w:p>
            <w:pPr>
              <w:jc w:val="left"/>
            </w:pPr>
            <w:r>
              <w:rPr>
                <w:b w:val="false"/>
                <w:bCs w:val="false"/>
              </w:rPr>
              <w:t xml:space="preserve">715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11</w:t>
            </w:r>
          </w:p>
        </w:tc>
        <w:tc>
          <w:tcPr>
            <w:tcW w:type="dxa" w:w="2000"/>
          </w:tcPr>
          <w:p>
            <w:pPr>
              <w:jc w:val="left"/>
            </w:pPr>
            <w:r>
              <w:rPr>
                <w:b w:val="false"/>
                <w:bCs w:val="false"/>
              </w:rPr>
              <w:t xml:space="preserve">585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r>
        <w:tc>
          <w:tcPr>
            <w:tcW w:type="dxa" w:w="1360"/>
          </w:tcPr>
          <w:p>
            <w:pPr>
              <w:jc w:val="left"/>
            </w:pPr>
            <w:r>
              <w:rPr>
                <w:b w:val="false"/>
                <w:bCs w:val="false"/>
              </w:rPr>
              <w:t xml:space="preserve">12</w:t>
            </w:r>
          </w:p>
        </w:tc>
        <w:tc>
          <w:tcPr>
            <w:tcW w:type="dxa" w:w="2000"/>
          </w:tcPr>
          <w:p>
            <w:pPr>
              <w:jc w:val="left"/>
            </w:pPr>
            <w:r>
              <w:rPr>
                <w:b w:val="false"/>
                <w:bCs w:val="false"/>
              </w:rPr>
              <w:t xml:space="preserve">425</w:t>
            </w:r>
          </w:p>
        </w:tc>
        <w:tc>
          <w:tcPr>
            <w:tcW w:type="dxa" w:w="1800"/>
          </w:tcPr>
          <w:p>
            <w:pPr>
              <w:jc w:val="left"/>
            </w:pPr>
            <w:r>
              <w:rPr>
                <w:b w:val="false"/>
                <w:bCs w:val="false"/>
              </w:rPr>
              <w:t xml:space="preserve">No</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r>
        <w:tc>
          <w:tcPr>
            <w:tcW w:type="dxa" w:w="1360"/>
          </w:tcPr>
          <w:p>
            <w:pPr>
              <w:jc w:val="left"/>
            </w:pPr>
            <w:r>
              <w:rPr>
                <w:b w:val="false"/>
                <w:bCs w:val="false"/>
              </w:rPr>
              <w:t xml:space="preserve">13</w:t>
            </w:r>
          </w:p>
        </w:tc>
        <w:tc>
          <w:tcPr>
            <w:tcW w:type="dxa" w:w="2000"/>
          </w:tcPr>
          <w:p>
            <w:pPr>
              <w:jc w:val="left"/>
            </w:pPr>
            <w:r>
              <w:rPr>
                <w:b w:val="false"/>
                <w:bCs w:val="false"/>
              </w:rPr>
              <w:t xml:space="preserve">655</w:t>
            </w:r>
          </w:p>
        </w:tc>
        <w:tc>
          <w:tcPr>
            <w:tcW w:type="dxa" w:w="1800"/>
          </w:tcPr>
          <w:p>
            <w:pPr>
              <w:jc w:val="left"/>
            </w:pPr>
            <w:r>
              <w:rPr>
                <w:b w:val="false"/>
                <w:bCs w:val="false"/>
              </w:rPr>
              <w:t xml:space="preserve">Yes</w:t>
            </w:r>
          </w:p>
        </w:tc>
        <w:tc>
          <w:tcPr>
            <w:tcW w:type="dxa" w:w="2200"/>
          </w:tcPr>
          <w:p>
            <w:pPr>
              <w:jc w:val="left"/>
            </w:pPr>
            <w:r>
              <w:rPr>
                <w:b w:val="false"/>
                <w:bCs w:val="false"/>
              </w:rPr>
              <w:t xml:space="preserve">+</w:t>
            </w:r>
          </w:p>
        </w:tc>
        <w:tc>
          <w:tcPr>
            <w:tcW w:type="dxa" w:w="2000"/>
          </w:tcPr>
          <w:p>
            <w:pPr>
              <w:jc w:val="left"/>
            </w:pPr>
            <w:r>
              <w:rPr>
                <w:b w:val="false"/>
                <w:bCs w:val="false"/>
              </w:rPr>
              <w:t xml:space="preserve">Yes</w:t>
            </w:r>
          </w:p>
        </w:tc>
      </w:tr>
      <w:tr>
        <w:tc>
          <w:tcPr>
            <w:tcW w:type="dxa" w:w="1360"/>
          </w:tcPr>
          <w:p>
            <w:pPr>
              <w:jc w:val="left"/>
            </w:pPr>
            <w:r>
              <w:rPr>
                <w:b w:val="false"/>
                <w:bCs w:val="false"/>
              </w:rPr>
              <w:t xml:space="preserve">14</w:t>
            </w:r>
          </w:p>
        </w:tc>
        <w:tc>
          <w:tcPr>
            <w:tcW w:type="dxa" w:w="2000"/>
          </w:tcPr>
          <w:p>
            <w:pPr>
              <w:jc w:val="left"/>
            </w:pPr>
            <w:r>
              <w:rPr>
                <w:b w:val="false"/>
                <w:bCs w:val="false"/>
              </w:rPr>
              <w:t xml:space="preserve">460</w:t>
            </w:r>
          </w:p>
        </w:tc>
        <w:tc>
          <w:tcPr>
            <w:tcW w:type="dxa" w:w="1800"/>
          </w:tcPr>
          <w:p>
            <w:pPr>
              <w:jc w:val="left"/>
            </w:pPr>
            <w:r>
              <w:rPr>
                <w:b w:val="false"/>
                <w:bCs w:val="false"/>
              </w:rPr>
              <w:t xml:space="preserve">No</w:t>
            </w:r>
          </w:p>
        </w:tc>
        <w:tc>
          <w:tcPr>
            <w:tcW w:type="dxa" w:w="2200"/>
          </w:tcPr>
          <w:p>
            <w:pPr>
              <w:jc w:val="left"/>
            </w:pPr>
            <w:r>
              <w:rPr>
                <w:b w:val="false"/>
                <w:bCs w:val="false"/>
              </w:rPr>
              <w:t xml:space="preserve">+</w:t>
            </w:r>
          </w:p>
        </w:tc>
        <w:tc>
          <w:tcPr>
            <w:tcW w:type="dxa" w:w="2000"/>
          </w:tcPr>
          <w:p>
            <w:pPr>
              <w:jc w:val="left"/>
            </w:pPr>
            <w:r>
              <w:rPr>
                <w:b w:val="false"/>
                <w:bCs w:val="false"/>
              </w:rPr>
              <w:t xml:space="preserve">No</w:t>
            </w:r>
          </w:p>
        </w:tc>
      </w:tr>
    </w:tbl>
    <w:p>
      <w:pPr>
        <w:spacing w:after="160" w:before="160"/>
      </w:pPr>
      <w:r>
        <w:t xml:space="preserve">This full table is Modeling Assumption MA6 — a constructed illustrative log, not a real SOC's internal data. Its scale (how often a threshold-crossing alert turns out to be a false positive, and how often a real incident's rate of change stays under a raw-count threshold) is anchored to published SOC-industry alert-quality benchmarks — a 2026 Microsoft/Omdia survey finding 46% of SOC alerts prove to be false positives, and a 2026 Ponemon Institute survey finding the average organization's alert queue is overwhelming enough that analysts investigate only 37% of what arrives — not to any single named institution's real internal data (SEE APPENDIX F, [S3], [S4]).</w:t>
      </w:r>
    </w:p>
    <w:p>
      <w:pPr>
        <w:spacing w:after="160"/>
      </w:pPr>
      <w:r>
        <w:rPr>
          <w:i/>
          <w:iCs/>
          <w:color w:val="5b6472"/>
          <w:sz w:val="18"/>
          <w:szCs w:val="18"/>
        </w:rPr>
        <w:t xml:space="preserve">Referenced from Challenge D5.</w:t>
      </w:r>
    </w:p>
    <w:p>
      <w:pPr>
        <w:pStyle w:val="Heading1"/>
        <w:spacing w:after="120" w:before="240"/>
      </w:pPr>
      <w:r>
        <w:t xml:space="preserve">Appendix E — Modeling Assumptions</w:t>
      </w:r>
    </w:p>
    <w:p>
      <w:pPr>
        <w:spacing w:after="160"/>
      </w:pPr>
      <w:r>
        <w:rPr>
          <w:i/>
          <w:iCs/>
        </w:rPr>
        <w:t xml:space="preserve">These figures are not sourced. They are stated scenario assumptions chosen by the case author, because no public SOC or SIEM vendor publishes the internal scoring-engine coefficients, escalation-threshold defaults, or per-shift alert logs of a real detection platform — that data is proprietary to each vendor and each SOC. A Hero may challenge them in discussion — that is a legitimate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3360"/>
      </w:tblGrid>
      <w:tr>
        <w:trPr>
          <w:tblHeader/>
        </w:trPr>
        <w:tc>
          <w:tcPr>
            <w:tcW w:type="dxa" w:w="900"/>
            <w:shd w:fill="1a3a5c" w:color="auto" w:val="clear"/>
          </w:tcPr>
          <w:p>
            <w:r>
              <w:rPr>
                <w:b/>
                <w:bCs/>
                <w:color w:val="FFFFFF"/>
              </w:rPr>
              <w:t xml:space="preserve">#</w:t>
            </w:r>
          </w:p>
        </w:tc>
        <w:tc>
          <w:tcPr>
            <w:tcW w:type="dxa" w:w="2500"/>
            <w:shd w:fill="1a3a5c" w:color="auto" w:val="clear"/>
          </w:tcPr>
          <w:p>
            <w:r>
              <w:rPr>
                <w:b/>
                <w:bCs/>
                <w:color w:val="FFFFFF"/>
              </w:rPr>
              <w:t xml:space="preserve">Assumption</w:t>
            </w:r>
          </w:p>
        </w:tc>
        <w:tc>
          <w:tcPr>
            <w:tcW w:type="dxa" w:w="2600"/>
            <w:shd w:fill="1a3a5c" w:color="auto" w:val="clear"/>
          </w:tcPr>
          <w:p>
            <w:r>
              <w:rPr>
                <w:b/>
                <w:bCs/>
                <w:color w:val="FFFFFF"/>
              </w:rPr>
              <w:t xml:space="preserve">Value used</w:t>
            </w:r>
          </w:p>
        </w:tc>
        <w:tc>
          <w:tcPr>
            <w:tcW w:type="dxa" w:w="3360"/>
            <w:shd w:fill="1a3a5c" w:color="auto" w:val="clear"/>
          </w:tcPr>
          <w:p>
            <w:r>
              <w:rPr>
                <w:b/>
                <w:bCs/>
                <w:color w:val="FFFFFF"/>
              </w:rPr>
              <w:t xml:space="preserve">Sensitivity</w:t>
            </w:r>
          </w:p>
        </w:tc>
      </w:tr>
      <w:tr>
        <w:tc>
          <w:tcPr>
            <w:tcW w:type="dxa" w:w="900"/>
          </w:tcPr>
          <w:p>
            <w:pPr>
              <w:jc w:val="left"/>
            </w:pPr>
            <w:r>
              <w:rPr>
                <w:b w:val="false"/>
                <w:bCs w:val="false"/>
              </w:rPr>
              <w:t xml:space="preserve">MA1</w:t>
            </w:r>
          </w:p>
        </w:tc>
        <w:tc>
          <w:tcPr>
            <w:tcW w:type="dxa" w:w="2500"/>
          </w:tcPr>
          <w:p>
            <w:pPr>
              <w:jc w:val="left"/>
            </w:pPr>
            <w:r>
              <w:rPr>
                <w:b w:val="false"/>
                <w:bCs w:val="false"/>
              </w:rPr>
              <w:t xml:space="preserve">Traffic-volume model coefficients p, q, r</w:t>
            </w:r>
          </w:p>
        </w:tc>
        <w:tc>
          <w:tcPr>
            <w:tcW w:type="dxa" w:w="2600"/>
          </w:tcPr>
          <w:p>
            <w:pPr>
              <w:jc w:val="left"/>
            </w:pPr>
            <w:r>
              <w:rPr>
                <w:b w:val="false"/>
                <w:bCs w:val="false"/>
              </w:rPr>
              <w:t xml:space="preserve">p = 0.4, q = 15, r = 800</w:t>
            </w:r>
          </w:p>
        </w:tc>
        <w:tc>
          <w:tcPr>
            <w:tcW w:type="dxa" w:w="3360"/>
          </w:tcPr>
          <w:p>
            <w:pPr>
              <w:jc w:val="left"/>
            </w:pPr>
            <w:r>
              <w:rPr>
                <w:b w:val="false"/>
                <w:bCs w:val="false"/>
              </w:rPr>
              <w:t xml:space="preserve">High — a smaller p can keep V(t) from ever driving A(t) into a threshold-crossing regime at all.</w:t>
            </w:r>
          </w:p>
        </w:tc>
      </w:tr>
      <w:tr>
        <w:tc>
          <w:tcPr>
            <w:tcW w:type="dxa" w:w="900"/>
          </w:tcPr>
          <w:p>
            <w:pPr>
              <w:jc w:val="left"/>
            </w:pPr>
            <w:r>
              <w:rPr>
                <w:b w:val="false"/>
                <w:bCs w:val="false"/>
              </w:rPr>
              <w:t xml:space="preserve">MA2</w:t>
            </w:r>
          </w:p>
        </w:tc>
        <w:tc>
          <w:tcPr>
            <w:tcW w:type="dxa" w:w="2500"/>
          </w:tcPr>
          <w:p>
            <w:pPr>
              <w:jc w:val="left"/>
            </w:pPr>
            <w:r>
              <w:rPr>
                <w:b w:val="false"/>
                <w:bCs w:val="false"/>
              </w:rPr>
              <w:t xml:space="preserve">Inner-function coefficients k, m</w:t>
            </w:r>
          </w:p>
        </w:tc>
        <w:tc>
          <w:tcPr>
            <w:tcW w:type="dxa" w:w="2600"/>
          </w:tcPr>
          <w:p>
            <w:pPr>
              <w:jc w:val="left"/>
            </w:pPr>
            <w:r>
              <w:rPr>
                <w:b w:val="false"/>
                <w:bCs w:val="false"/>
              </w:rPr>
              <w:t xml:space="preserve">k = 3, m = 20</w:t>
            </w:r>
          </w:p>
        </w:tc>
        <w:tc>
          <w:tcPr>
            <w:tcW w:type="dxa" w:w="3360"/>
          </w:tcPr>
          <w:p>
            <w:pPr>
              <w:jc w:val="left"/>
            </w:pPr>
            <w:r>
              <w:rPr>
                <w:b w:val="false"/>
                <w:bCs w:val="false"/>
              </w:rPr>
              <w:t xml:space="preserve">Medium — affects the magnitude of dS/dt and dA/dt, not the sign.</w:t>
            </w:r>
          </w:p>
        </w:tc>
      </w:tr>
      <w:tr>
        <w:tc>
          <w:tcPr>
            <w:tcW w:type="dxa" w:w="900"/>
          </w:tcPr>
          <w:p>
            <w:pPr>
              <w:jc w:val="left"/>
            </w:pPr>
            <w:r>
              <w:rPr>
                <w:b w:val="false"/>
                <w:bCs w:val="false"/>
              </w:rPr>
              <w:t xml:space="preserve">MA3</w:t>
            </w:r>
          </w:p>
        </w:tc>
        <w:tc>
          <w:tcPr>
            <w:tcW w:type="dxa" w:w="2500"/>
          </w:tcPr>
          <w:p>
            <w:pPr>
              <w:jc w:val="left"/>
            </w:pPr>
            <w:r>
              <w:rPr>
                <w:b w:val="false"/>
                <w:bCs w:val="false"/>
              </w:rPr>
              <w:t xml:space="preserve">Outer-function scaling coefficient c</w:t>
            </w:r>
          </w:p>
        </w:tc>
        <w:tc>
          <w:tcPr>
            <w:tcW w:type="dxa" w:w="2600"/>
          </w:tcPr>
          <w:p>
            <w:pPr>
              <w:jc w:val="left"/>
            </w:pPr>
            <w:r>
              <w:rPr>
                <w:b w:val="false"/>
                <w:bCs w:val="false"/>
              </w:rPr>
              <w:t xml:space="preserve">c = 6</w:t>
            </w:r>
          </w:p>
        </w:tc>
        <w:tc>
          <w:tcPr>
            <w:tcW w:type="dxa" w:w="3360"/>
          </w:tcPr>
          <w:p>
            <w:pPr>
              <w:jc w:val="left"/>
            </w:pPr>
            <w:r>
              <w:rPr>
                <w:b w:val="false"/>
                <w:bCs w:val="false"/>
              </w:rPr>
              <w:t xml:space="preserve">Medium — rescales S(t) and A(t) uniformly.</w:t>
            </w:r>
          </w:p>
        </w:tc>
      </w:tr>
      <w:tr>
        <w:tc>
          <w:tcPr>
            <w:tcW w:type="dxa" w:w="900"/>
          </w:tcPr>
          <w:p>
            <w:pPr>
              <w:jc w:val="left"/>
            </w:pPr>
            <w:r>
              <w:rPr>
                <w:b w:val="false"/>
                <w:bCs w:val="false"/>
              </w:rPr>
              <w:t xml:space="preserve">MA4</w:t>
            </w:r>
          </w:p>
        </w:tc>
        <w:tc>
          <w:tcPr>
            <w:tcW w:type="dxa" w:w="2500"/>
          </w:tcPr>
          <w:p>
            <w:pPr>
              <w:jc w:val="left"/>
            </w:pPr>
            <w:r>
              <w:rPr>
                <w:b w:val="false"/>
                <w:bCs w:val="false"/>
              </w:rPr>
              <w:t xml:space="preserve">Threshold Trip's raw-alert threshold</w:t>
            </w:r>
          </w:p>
        </w:tc>
        <w:tc>
          <w:tcPr>
            <w:tcW w:type="dxa" w:w="2600"/>
          </w:tcPr>
          <w:p>
            <w:pPr>
              <w:jc w:val="left"/>
            </w:pPr>
            <w:r>
              <w:rPr>
                <w:b w:val="false"/>
                <w:bCs w:val="false"/>
              </w:rPr>
              <w:t xml:space="preserve">500 alerts/hour</w:t>
            </w:r>
          </w:p>
        </w:tc>
        <w:tc>
          <w:tcPr>
            <w:tcW w:type="dxa" w:w="3360"/>
          </w:tcPr>
          <w:p>
            <w:pPr>
              <w:jc w:val="left"/>
            </w:pPr>
            <w:r>
              <w:rPr>
                <w:b w:val="false"/>
                <w:bCs w:val="false"/>
              </w:rPr>
              <w:t xml:space="preserve">High — the single most flip-capable figure in the case.</w:t>
            </w:r>
          </w:p>
        </w:tc>
      </w:tr>
      <w:tr>
        <w:tc>
          <w:tcPr>
            <w:tcW w:type="dxa" w:w="900"/>
          </w:tcPr>
          <w:p>
            <w:pPr>
              <w:jc w:val="left"/>
            </w:pPr>
            <w:r>
              <w:rPr>
                <w:b w:val="false"/>
                <w:bCs w:val="false"/>
              </w:rPr>
              <w:t xml:space="preserve">MA5</w:t>
            </w:r>
          </w:p>
        </w:tc>
        <w:tc>
          <w:tcPr>
            <w:tcW w:type="dxa" w:w="2500"/>
          </w:tcPr>
          <w:p>
            <w:pPr>
              <w:jc w:val="left"/>
            </w:pPr>
            <w:r>
              <w:rPr>
                <w:b w:val="false"/>
                <w:bCs w:val="false"/>
              </w:rPr>
              <w:t xml:space="preserve">Current sampling instant t0</w:t>
            </w:r>
          </w:p>
        </w:tc>
        <w:tc>
          <w:tcPr>
            <w:tcW w:type="dxa" w:w="2600"/>
          </w:tcPr>
          <w:p>
            <w:pPr>
              <w:jc w:val="left"/>
            </w:pPr>
            <w:r>
              <w:rPr>
                <w:b w:val="false"/>
                <w:bCs w:val="false"/>
              </w:rPr>
              <w:t xml:space="preserve">42 minutes into the 60-minute window</w:t>
            </w:r>
          </w:p>
        </w:tc>
        <w:tc>
          <w:tcPr>
            <w:tcW w:type="dxa" w:w="3360"/>
          </w:tcPr>
          <w:p>
            <w:pPr>
              <w:jc w:val="left"/>
            </w:pPr>
            <w:r>
              <w:rPr>
                <w:b w:val="false"/>
                <w:bCs w:val="false"/>
              </w:rPr>
              <w:t xml:space="preserve">Low — changes D4's numeric prediction, not which policy the D5 ratio favors.</w:t>
            </w:r>
          </w:p>
        </w:tc>
      </w:tr>
      <w:tr>
        <w:tc>
          <w:tcPr>
            <w:tcW w:type="dxa" w:w="900"/>
          </w:tcPr>
          <w:p>
            <w:pPr>
              <w:jc w:val="left"/>
            </w:pPr>
            <w:r>
              <w:rPr>
                <w:b w:val="false"/>
                <w:bCs w:val="false"/>
              </w:rPr>
              <w:t xml:space="preserve">MA6</w:t>
            </w:r>
          </w:p>
        </w:tc>
        <w:tc>
          <w:tcPr>
            <w:tcW w:type="dxa" w:w="2500"/>
          </w:tcPr>
          <w:p>
            <w:pPr>
              <w:jc w:val="left"/>
            </w:pPr>
            <w:r>
              <w:rPr>
                <w:b w:val="false"/>
                <w:bCs w:val="false"/>
              </w:rPr>
              <w:t xml:space="preserve">Appendix D's 14-row historical escalation log</w:t>
            </w:r>
          </w:p>
        </w:tc>
        <w:tc>
          <w:tcPr>
            <w:tcW w:type="dxa" w:w="2600"/>
          </w:tcPr>
          <w:p>
            <w:pPr>
              <w:jc w:val="left"/>
            </w:pPr>
            <w:r>
              <w:rPr>
                <w:b w:val="false"/>
                <w:bCs w:val="false"/>
              </w:rPr>
              <w:t xml:space="preserve">See Appendix D table</w:t>
            </w:r>
          </w:p>
        </w:tc>
        <w:tc>
          <w:tcPr>
            <w:tcW w:type="dxa" w:w="3360"/>
          </w:tcPr>
          <w:p>
            <w:pPr>
              <w:jc w:val="left"/>
            </w:pPr>
            <w:r>
              <w:rPr>
                <w:b w:val="false"/>
                <w:bCs w:val="false"/>
              </w:rPr>
              <w:t xml:space="preserve">High — this table is what D5's ratio and its percentage margin are computed from directly.</w:t>
            </w:r>
          </w:p>
        </w:tc>
      </w:tr>
    </w:tbl>
    <w:p>
      <w:pPr>
        <w:spacing w:before="160"/>
      </w:pPr>
      <w:r>
        <w:rPr>
          <w:i/>
          <w:iCs/>
          <w:color w:val="5b6472"/>
          <w:sz w:val="18"/>
          <w:szCs w:val="18"/>
        </w:rPr>
        <w:t xml:space="preserve">Referenced from Appendix A, Appendix C, Appendix D, and Challenges D1–D5.</w:t>
      </w:r>
    </w:p>
    <w:p>
      <w:pPr>
        <w:pStyle w:val="Heading1"/>
        <w:spacing w:after="120" w:before="240"/>
      </w:pPr>
      <w:r>
        <w:t xml:space="preserve">Appendix F —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600"/>
        <w:gridCol w:w="2900"/>
        <w:gridCol w:w="1360"/>
      </w:tblGrid>
      <w:tr>
        <w:trPr>
          <w:tblHeader/>
        </w:trPr>
        <w:tc>
          <w:tcPr>
            <w:tcW w:type="dxa" w:w="900"/>
            <w:shd w:fill="1a3a5c" w:color="auto" w:val="clear"/>
          </w:tcPr>
          <w:p>
            <w:r>
              <w:rPr>
                <w:b/>
                <w:bCs/>
                <w:color w:val="FFFFFF"/>
              </w:rPr>
              <w:t xml:space="preserve">id</w:t>
            </w:r>
          </w:p>
        </w:tc>
        <w:tc>
          <w:tcPr>
            <w:tcW w:type="dxa" w:w="2600"/>
            <w:shd w:fill="1a3a5c" w:color="auto" w:val="clear"/>
          </w:tcPr>
          <w:p>
            <w:r>
              <w:rPr>
                <w:b/>
                <w:bCs/>
                <w:color w:val="FFFFFF"/>
              </w:rPr>
              <w:t xml:space="preserve">Claim</w:t>
            </w:r>
          </w:p>
        </w:tc>
        <w:tc>
          <w:tcPr>
            <w:tcW w:type="dxa" w:w="1600"/>
            <w:shd w:fill="1a3a5c" w:color="auto" w:val="clear"/>
          </w:tcPr>
          <w:p>
            <w:r>
              <w:rPr>
                <w:b/>
                <w:bCs/>
                <w:color w:val="FFFFFF"/>
              </w:rPr>
              <w:t xml:space="preserve">Value</w:t>
            </w:r>
          </w:p>
        </w:tc>
        <w:tc>
          <w:tcPr>
            <w:tcW w:type="dxa" w:w="2900"/>
            <w:shd w:fill="1a3a5c" w:color="auto" w:val="clear"/>
          </w:tcPr>
          <w:p>
            <w:r>
              <w:rPr>
                <w:b/>
                <w:bCs/>
                <w:color w:val="FFFFFF"/>
              </w:rPr>
              <w:t xml:space="preserve">Source</w:t>
            </w:r>
          </w:p>
        </w:tc>
        <w:tc>
          <w:tcPr>
            <w:tcW w:type="dxa" w:w="1360"/>
            <w:shd w:fill="1a3a5c" w:color="auto" w:val="clear"/>
          </w:tcPr>
          <w:p>
            <w:r>
              <w:rPr>
                <w:b/>
                <w:bCs/>
                <w:color w:val="FFFFFF"/>
              </w:rPr>
              <w:t xml:space="preserve">Confidence</w:t>
            </w:r>
          </w:p>
        </w:tc>
      </w:tr>
      <w:tr>
        <w:tc>
          <w:tcPr>
            <w:tcW w:type="dxa" w:w="900"/>
          </w:tcPr>
          <w:p>
            <w:pPr>
              <w:jc w:val="left"/>
            </w:pPr>
            <w:r>
              <w:rPr>
                <w:b w:val="false"/>
                <w:bCs w:val="false"/>
              </w:rPr>
              <w:t xml:space="preserve">S1</w:t>
            </w:r>
          </w:p>
        </w:tc>
        <w:tc>
          <w:tcPr>
            <w:tcW w:type="dxa" w:w="2600"/>
          </w:tcPr>
          <w:p>
            <w:pPr>
              <w:jc w:val="left"/>
            </w:pPr>
            <w:r>
              <w:rPr>
                <w:b w:val="false"/>
                <w:bCs w:val="false"/>
              </w:rPr>
              <w:t xml:space="preserve">Minimum configurable run-query interval for a scheduled analytics rule</w:t>
            </w:r>
          </w:p>
        </w:tc>
        <w:tc>
          <w:tcPr>
            <w:tcW w:type="dxa" w:w="1600"/>
          </w:tcPr>
          <w:p>
            <w:pPr>
              <w:jc w:val="left"/>
            </w:pPr>
            <w:r>
              <w:rPr>
                <w:b w:val="false"/>
                <w:bCs w:val="false"/>
              </w:rPr>
              <w:t xml:space="preserve">5 minutes</w:t>
            </w:r>
          </w:p>
        </w:tc>
        <w:tc>
          <w:tcPr>
            <w:tcW w:type="dxa" w:w="2900"/>
          </w:tcPr>
          <w:p>
            <w:pPr>
              <w:jc w:val="left"/>
            </w:pPr>
            <w:r>
              <w:rPr>
                <w:b w:val="false"/>
                <w:bCs w:val="false"/>
              </w:rPr>
              <w:t xml:space="preserve">Microsoft — Scheduled analytics rules in Microsoft Sentinel</w:t>
            </w:r>
          </w:p>
        </w:tc>
        <w:tc>
          <w:tcPr>
            <w:tcW w:type="dxa" w:w="1360"/>
          </w:tcPr>
          <w:p>
            <w:pPr>
              <w:jc w:val="left"/>
            </w:pPr>
            <w:r>
              <w:rPr>
                <w:b w:val="false"/>
                <w:bCs w:val="false"/>
              </w:rPr>
              <w:t xml:space="preserve">HIGH</w:t>
            </w:r>
          </w:p>
        </w:tc>
      </w:tr>
      <w:tr>
        <w:tc>
          <w:tcPr>
            <w:tcW w:type="dxa" w:w="900"/>
          </w:tcPr>
          <w:p>
            <w:pPr>
              <w:jc w:val="left"/>
            </w:pPr>
            <w:r>
              <w:rPr>
                <w:b w:val="false"/>
                <w:bCs w:val="false"/>
              </w:rPr>
              <w:t xml:space="preserve">S2</w:t>
            </w:r>
          </w:p>
        </w:tc>
        <w:tc>
          <w:tcPr>
            <w:tcW w:type="dxa" w:w="2600"/>
          </w:tcPr>
          <w:p>
            <w:pPr>
              <w:jc w:val="left"/>
            </w:pPr>
            <w:r>
              <w:rPr>
                <w:b w:val="false"/>
                <w:bCs w:val="false"/>
              </w:rPr>
              <w:t xml:space="preserve">Mean time to identify and contain a data breach, global average</w:t>
            </w:r>
          </w:p>
        </w:tc>
        <w:tc>
          <w:tcPr>
            <w:tcW w:type="dxa" w:w="1600"/>
          </w:tcPr>
          <w:p>
            <w:pPr>
              <w:jc w:val="left"/>
            </w:pPr>
            <w:r>
              <w:rPr>
                <w:b w:val="false"/>
                <w:bCs w:val="false"/>
              </w:rPr>
              <w:t xml:space="preserve">247 days</w:t>
            </w:r>
          </w:p>
        </w:tc>
        <w:tc>
          <w:tcPr>
            <w:tcW w:type="dxa" w:w="2900"/>
          </w:tcPr>
          <w:p>
            <w:pPr>
              <w:jc w:val="left"/>
            </w:pPr>
            <w:r>
              <w:rPr>
                <w:b w:val="false"/>
                <w:bCs w:val="false"/>
              </w:rPr>
              <w:t xml:space="preserve">IBM, Cost of a Data Breach Report 2026, via Help Net Security</w:t>
            </w:r>
          </w:p>
        </w:tc>
        <w:tc>
          <w:tcPr>
            <w:tcW w:type="dxa" w:w="1360"/>
          </w:tcPr>
          <w:p>
            <w:pPr>
              <w:jc w:val="left"/>
            </w:pPr>
            <w:r>
              <w:rPr>
                <w:b w:val="false"/>
                <w:bCs w:val="false"/>
              </w:rPr>
              <w:t xml:space="preserve">MEDIUM</w:t>
            </w:r>
          </w:p>
        </w:tc>
      </w:tr>
      <w:tr>
        <w:tc>
          <w:tcPr>
            <w:tcW w:type="dxa" w:w="900"/>
          </w:tcPr>
          <w:p>
            <w:pPr>
              <w:jc w:val="left"/>
            </w:pPr>
            <w:r>
              <w:rPr>
                <w:b w:val="false"/>
                <w:bCs w:val="false"/>
              </w:rPr>
              <w:t xml:space="preserve">S3</w:t>
            </w:r>
          </w:p>
        </w:tc>
        <w:tc>
          <w:tcPr>
            <w:tcW w:type="dxa" w:w="2600"/>
          </w:tcPr>
          <w:p>
            <w:pPr>
              <w:jc w:val="left"/>
            </w:pPr>
            <w:r>
              <w:rPr>
                <w:b w:val="false"/>
                <w:bCs w:val="false"/>
              </w:rPr>
              <w:t xml:space="preserve">Share of SOC alerts that prove to be false positives / left uninvestigated</w:t>
            </w:r>
          </w:p>
        </w:tc>
        <w:tc>
          <w:tcPr>
            <w:tcW w:type="dxa" w:w="1600"/>
          </w:tcPr>
          <w:p>
            <w:pPr>
              <w:jc w:val="left"/>
            </w:pPr>
            <w:r>
              <w:rPr>
                <w:b w:val="false"/>
                <w:bCs w:val="false"/>
              </w:rPr>
              <w:t xml:space="preserve">46% / 42%</w:t>
            </w:r>
          </w:p>
        </w:tc>
        <w:tc>
          <w:tcPr>
            <w:tcW w:type="dxa" w:w="2900"/>
          </w:tcPr>
          <w:p>
            <w:pPr>
              <w:jc w:val="left"/>
            </w:pPr>
            <w:r>
              <w:rPr>
                <w:b w:val="false"/>
                <w:bCs w:val="false"/>
              </w:rPr>
              <w:t xml:space="preserve">Omdia (commissioned by Microsoft)</w:t>
            </w:r>
          </w:p>
        </w:tc>
        <w:tc>
          <w:tcPr>
            <w:tcW w:type="dxa" w:w="1360"/>
          </w:tcPr>
          <w:p>
            <w:pPr>
              <w:jc w:val="left"/>
            </w:pPr>
            <w:r>
              <w:rPr>
                <w:b w:val="false"/>
                <w:bCs w:val="false"/>
              </w:rPr>
              <w:t xml:space="preserve">MEDIUM</w:t>
            </w:r>
          </w:p>
        </w:tc>
      </w:tr>
      <w:tr>
        <w:tc>
          <w:tcPr>
            <w:tcW w:type="dxa" w:w="900"/>
          </w:tcPr>
          <w:p>
            <w:pPr>
              <w:jc w:val="left"/>
            </w:pPr>
            <w:r>
              <w:rPr>
                <w:b w:val="false"/>
                <w:bCs w:val="false"/>
              </w:rPr>
              <w:t xml:space="preserve">S4</w:t>
            </w:r>
          </w:p>
        </w:tc>
        <w:tc>
          <w:tcPr>
            <w:tcW w:type="dxa" w:w="2600"/>
          </w:tcPr>
          <w:p>
            <w:pPr>
              <w:jc w:val="left"/>
            </w:pPr>
            <w:r>
              <w:rPr>
                <w:b w:val="false"/>
                <w:bCs w:val="false"/>
              </w:rPr>
              <w:t xml:space="preserve">Average daily alert volume per organization / share investigated</w:t>
            </w:r>
          </w:p>
        </w:tc>
        <w:tc>
          <w:tcPr>
            <w:tcW w:type="dxa" w:w="1600"/>
          </w:tcPr>
          <w:p>
            <w:pPr>
              <w:jc w:val="left"/>
            </w:pPr>
            <w:r>
              <w:rPr>
                <w:b w:val="false"/>
                <w:bCs w:val="false"/>
              </w:rPr>
              <w:t xml:space="preserve">4,330/day · 37%</w:t>
            </w:r>
          </w:p>
        </w:tc>
        <w:tc>
          <w:tcPr>
            <w:tcW w:type="dxa" w:w="2900"/>
          </w:tcPr>
          <w:p>
            <w:pPr>
              <w:jc w:val="left"/>
            </w:pPr>
            <w:r>
              <w:rPr>
                <w:b w:val="false"/>
                <w:bCs w:val="false"/>
              </w:rPr>
              <w:t xml:space="preserve">Ponemon Institute (commissioned by Crogl)</w:t>
            </w:r>
          </w:p>
        </w:tc>
        <w:tc>
          <w:tcPr>
            <w:tcW w:type="dxa" w:w="1360"/>
          </w:tcPr>
          <w:p>
            <w:pPr>
              <w:jc w:val="left"/>
            </w:pPr>
            <w:r>
              <w:rPr>
                <w:b w:val="false"/>
                <w:bCs w:val="false"/>
              </w:rPr>
              <w:t xml:space="preserve">MEDIUM</w:t>
            </w:r>
          </w:p>
        </w:tc>
      </w:tr>
    </w:tbl>
    <w:p>
      <w:pPr>
        <w:spacing w:after="160" w:before="160"/>
      </w:pPr>
      <w:r>
        <w:t xml:space="preserve">Rejected anchor. Appendix D's original draft note proposed anchoring the historical log's scale to “the Verizon DBIR's reporting on the share of security alerts that convert to confirmed incidents.” A genuine search found no such alert-to-incident conversion statistic published in the Verizon DBIR; the DBIR reports on confirmed breaches and incidents, not on raw alert-triage outcomes. S3 and S4 above (Microsoft/Omdia and Ponemon SOC-alert-quality research) measure the same underlying phenomenon — how often an alert is noise versus signal — and are used in its place.</w:t>
      </w:r>
    </w:p>
    <w:p>
      <w:pPr>
        <w:spacing w:after="160"/>
      </w:pPr>
      <w:r>
        <w:rPr>
          <w:i/>
          <w:iCs/>
          <w:color w:val="5b6472"/>
          <w:sz w:val="18"/>
          <w:szCs w:val="18"/>
        </w:rPr>
        <w:t xml:space="preserve">Referenced from Background, Appendix A, Appendix C, Appendix D, Appendix E.</w:t>
      </w:r>
    </w:p>
    <w:p>
      <w:pPr>
        <w:pStyle w:val="Heading1"/>
        <w:spacing w:after="120" w:before="240"/>
      </w:pPr>
      <w:r>
        <w:t xml:space="preserve">Appendix G — “How To…” Math Questions To Research</w:t>
      </w:r>
    </w:p>
    <w:p>
      <w:pPr>
        <w:spacing w:after="160"/>
      </w:pPr>
      <w:r>
        <w:rPr>
          <w:b/>
          <w:bCs/>
        </w:rPr>
        <w:t xml:space="preserve">Vocabulary terms</w:t>
      </w:r>
    </w:p>
    <w:p>
      <w:pPr>
        <w:pStyle w:val="ListParagraph"/>
        <w:numPr>
          <w:ilvl w:val="0"/>
          <w:numId w:val="2"/>
        </w:numPr>
        <w:spacing w:after="100"/>
      </w:pPr>
      <w:r>
        <w:t xml:space="preserve">Tangent Line</w:t>
      </w:r>
    </w:p>
    <w:p>
      <w:pPr>
        <w:pStyle w:val="ListParagraph"/>
        <w:numPr>
          <w:ilvl w:val="0"/>
          <w:numId w:val="2"/>
        </w:numPr>
        <w:spacing w:after="100"/>
      </w:pPr>
      <w:r>
        <w:t xml:space="preserve">Differentiable</w:t>
      </w:r>
    </w:p>
    <w:p>
      <w:pPr>
        <w:spacing w:before="160"/>
      </w:pPr>
      <w:r>
        <w:rPr>
          <w:b/>
          <w:bCs/>
        </w:rPr>
        <w:t xml:space="preserve">“How to…” questions</w:t>
      </w:r>
    </w:p>
    <w:p>
      <w:pPr>
        <w:pStyle w:val="ListParagraph"/>
        <w:numPr>
          <w:ilvl w:val="0"/>
          <w:numId w:val="2"/>
        </w:numPr>
        <w:spacing w:after="100"/>
      </w:pPr>
      <w:r>
        <w:t xml:space="preserve">How to use the chain rule to differentiate a composite function</w:t>
      </w:r>
    </w:p>
    <w:p>
      <w:pPr>
        <w:pStyle w:val="ListParagraph"/>
        <w:numPr>
          <w:ilvl w:val="0"/>
          <w:numId w:val="2"/>
        </w:numPr>
        <w:spacing w:after="100"/>
      </w:pPr>
      <w:r>
        <w:t xml:space="preserve">How to use the product rule to differentiate a product of functions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2026-08-30T22:30:18.309Z</dcterms:created>
  <dcterms:modified xsi:type="dcterms:W3CDTF">2026-08-30T22:30:18.310Z</dcterms:modified>
</cp:coreProperties>
</file>

<file path=docProps/custom.xml><?xml version="1.0" encoding="utf-8"?>
<Properties xmlns="http://schemas.openxmlformats.org/officeDocument/2006/custom-properties" xmlns:vt="http://schemas.openxmlformats.org/officeDocument/2006/docPropsVTypes"/>
</file>