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Case Study: The Bioreactor Bid</w:t>
      </w:r>
    </w:p>
    <w:p>
      <w:pPr>
        <w:spacing w:after="320"/>
        <w:jc w:val="center"/>
      </w:pPr>
      <w:r>
        <w:rPr>
          <w:rFonts w:ascii="Calibri" w:cs="Calibri" w:eastAsia="Calibri" w:hAnsi="Calibri"/>
          <w:i/>
          <w:iCs/>
          <w:sz w:val="20"/>
          <w:szCs w:val="20"/>
        </w:rPr>
        <w:t xml:space="preserve">MS | Math | Case Study | 2026 | Adventure</w:t>
      </w:r>
    </w:p>
    <w:p>
      <w:pPr>
        <w:pStyle w:val="Heading1"/>
        <w:spacing w:after="120" w:before="240"/>
      </w:pPr>
      <w:r>
        <w:rPr>
          <w:rFonts w:ascii="Calibri" w:cs="Calibri" w:eastAsia="Calibri" w:hAnsi="Calibri"/>
          <w:b/>
          <w:bCs/>
        </w:rPr>
        <w:t xml:space="preserve">Overview</w:t>
      </w:r>
    </w:p>
    <w:p>
      <w:pPr>
        <w:spacing w:after="160"/>
      </w:pPr>
      <w:r>
        <w:rPr>
          <w:rFonts w:ascii="Calibri" w:cs="Calibri" w:eastAsia="Calibri" w:hAnsi="Calibri"/>
        </w:rPr>
        <w:t xml:space="preserve">The incubator room hums at 37 degrees, and Wei Zhang has been staring at the same two vendor folders for twenty minutes without opening either one. Through the observation window, the pilot suite sits dark — whichever vessel he recommends this week is the one that gets installed there, scaled up, and run for a client whose entire production budget for this program lives inside his line item. His manager's message is still open on his phone: </w:t>
      </w:r>
      <w:r>
        <w:rPr>
          <w:rFonts w:ascii="Calibri" w:cs="Calibri" w:eastAsia="Calibri" w:hAnsi="Calibri"/>
          <w:i/>
          <w:iCs/>
        </w:rPr>
        <w:t xml:space="preserve">procurement needs your number by end of day.</w:t>
      </w:r>
    </w:p>
    <w:p>
      <w:pPr>
        <w:spacing w:after="160"/>
      </w:pPr>
      <w:r>
        <w:rPr>
          <w:rFonts w:ascii="Calibri" w:cs="Calibri" w:eastAsia="Calibri" w:hAnsi="Calibri"/>
        </w:rPr>
        <w:t xml:space="preserve">Wei turns first to the sales sheet for the tank he already knows, the one every operator on his team could run half-asleep — a straight steel cylinder, predictable, no surprises. Then he opens the second folder, the one with the glossy cutaway diagram of a flexible bag rocking on its cradle, its liquid surface curving and flattening with every tilt. He remembers the client's kickoff call, the words “we need density, not just volume.” He also remembers the number his director circled in red on the wave system's quote last quarter, the one that made her wince.</w:t>
      </w:r>
    </w:p>
    <w:p>
      <w:pPr>
        <w:spacing w:after="160"/>
      </w:pPr>
      <w:r>
        <w:rPr>
          <w:rFonts w:ascii="Calibri" w:cs="Calibri" w:eastAsia="Calibri" w:hAnsi="Calibri"/>
        </w:rPr>
        <w:t xml:space="preserve">He pulls a legal pad toward him and uncaps a marker. Somewhere in these two folders is a vessel that actually earns its keep on this run — not the one that sounds better in the sales pitch, but the one that pencils out. He squares the two folders side by side on the bench, picks up the first spec sheet, and starts reading the fine print on curvature.</w:t>
      </w:r>
    </w:p>
    <w:p>
      <w:pPr>
        <w:pStyle w:val="Heading1"/>
        <w:spacing w:after="120" w:before="240"/>
      </w:pPr>
      <w:r>
        <w:rPr>
          <w:rFonts w:ascii="Calibri" w:cs="Calibri" w:eastAsia="Calibri" w:hAnsi="Calibri"/>
          <w:b/>
          <w:bCs/>
        </w:rPr>
        <w:t xml:space="preserve">Background</w:t>
      </w:r>
    </w:p>
    <w:p>
      <w:pPr>
        <w:spacing w:after="160"/>
      </w:pPr>
      <w:r>
        <w:rPr>
          <w:rFonts w:ascii="Calibri" w:cs="Calibri" w:eastAsia="Calibri" w:hAnsi="Calibri"/>
        </w:rPr>
        <w:t xml:space="preserve">Wei Zhang is a Bioprocess Engineer at a contract manufacturing organization (CRO) that scales up client cell-culture processes for production runs. He is responsible for recommending the production bioreactor for an upcoming batch and accountable to both his director and the client's program manager for defending that recommendation with numbers, not intuition (SEE APPENDIX A).</w:t>
      </w:r>
    </w:p>
    <w:p>
      <w:pPr>
        <w:spacing w:after="160"/>
      </w:pPr>
      <w:r>
        <w:rPr>
          <w:rFonts w:ascii="Calibri" w:cs="Calibri" w:eastAsia="Calibri" w:hAnsi="Calibri"/>
        </w:rPr>
        <w:t xml:space="preserve">Two vessel options are under consideration for this run:</w:t>
      </w:r>
    </w:p>
    <w:p>
      <w:pPr>
        <w:spacing w:after="160"/>
      </w:pPr>
      <w:r>
        <w:rPr>
          <w:rFonts w:ascii="Calibri" w:cs="Calibri" w:eastAsia="Calibri" w:hAnsi="Calibri"/>
          <w:b/>
          <w:bCs/>
        </w:rPr>
        <w:t xml:space="preserve">The Column Bid</w:t>
      </w:r>
      <w:r>
        <w:rPr>
          <w:rFonts w:ascii="Calibri" w:cs="Calibri" w:eastAsia="Calibri" w:hAnsi="Calibri"/>
        </w:rPr>
        <w:t xml:space="preserve"> — a standard cylindrical stirred-tank bioreactor (STR). Its geometry is simple and its working volume at any fill level is well characterized by the ordinary cylinder-volume formula, but its mixing efficiency caps the cell density the batch can reach (SEE APPENDIX B).</w:t>
      </w:r>
    </w:p>
    <w:p>
      <w:pPr>
        <w:spacing w:after="160"/>
      </w:pPr>
      <w:r>
        <w:rPr>
          <w:rFonts w:ascii="Calibri" w:cs="Calibri" w:eastAsia="Calibri" w:hAnsi="Calibri"/>
          <w:b/>
          <w:bCs/>
        </w:rPr>
        <w:t xml:space="preserve">The Wave Bid</w:t>
      </w:r>
      <w:r>
        <w:rPr>
          <w:rFonts w:ascii="Calibri" w:cs="Calibri" w:eastAsia="Calibri" w:hAnsi="Calibri"/>
        </w:rPr>
        <w:t xml:space="preserve"> — a wave/rocking bioreactor whose flexible bag forms a curved, non-cylindrical profile as it rocks and fills. Its rocking motion mixes more efficiently and supports a higher achievable cell density, but because the bag's cross-section is not a simple cylinder, its true working volume at the batch's target fill level must be found by treating the filled bag as a solid of revolution generated by its cross-sectional profile, not by assuming the vessel's full nominal capacity is usable (SEE APPENDIX C).</w:t>
      </w:r>
    </w:p>
    <w:p>
      <w:pPr>
        <w:spacing w:after="160"/>
      </w:pPr>
      <w:r>
        <w:rPr>
          <w:rFonts w:ascii="Calibri" w:cs="Calibri" w:eastAsia="Calibri" w:hAnsi="Calibri"/>
        </w:rPr>
        <w:t xml:space="preserve">Both vessels would run the same client cell line under the same feed protocol. The client's process team has supplied standard growth-kinetics data describing how fast nutrient is fed into the batch and how fast the culture takes it up over the run (SEE APPENDIX A) — the batch's net cumulative yield is the surplus that accumulates between those two rates over the full run.</w:t>
      </w:r>
    </w:p>
    <w:p>
      <w:pPr>
        <w:spacing w:after="160"/>
      </w:pPr>
      <w:r>
        <w:rPr>
          <w:rFonts w:ascii="Calibri" w:cs="Calibri" w:eastAsia="Calibri" w:hAnsi="Calibri"/>
        </w:rPr>
        <w:t xml:space="preserve">The run is bound by several hard limits. The batch must run for 5 days [MA3], after which the culture is harvested regardless of vessel. Each vessel must be operated at a target fill level of 75% (Column Bid) [S5] / 45% (Wave Bid) [S5] of its nominal capacity — cell-culture vessels are never run to the brim, to leave headspace for gas exchange and foam. The client's program requires a minimum total yield of 25 L [MA4] of viable product from this run to meet its downstream purification schedule, and the CRO's program budget caps total vessel and validation spend at $50,000 [MA5] (SEE APPENDIX D). Wei's recommendation has to clear all three at once.</w:t>
      </w:r>
    </w:p>
    <w:p>
      <w:pPr>
        <w:spacing w:after="160"/>
      </w:pPr>
      <w:r>
        <w:rPr>
          <w:rFonts w:ascii="Calibri" w:cs="Calibri" w:eastAsia="Calibri" w:hAnsi="Calibri"/>
        </w:rPr>
        <w:t xml:space="preserve">Getting there requires two calculus techniques Wei hasn't used since a college methods course — finding the area between two curves and finding the volume of a solid of revolution by the disk method (SEE APPENDIX F).</w:t>
      </w:r>
    </w:p>
    <w:p>
      <w:pPr>
        <w:spacing w:after="160"/>
      </w:pPr>
      <w:r>
        <w:rPr>
          <w:rFonts w:ascii="Calibri" w:cs="Calibri" w:eastAsia="Calibri" w:hAnsi="Calibri"/>
        </w:rPr>
        <w:t xml:space="preserve">All figures in this case are sourced or stated as modeling assumptions in (SEE APPENDIX E).</w:t>
      </w:r>
    </w:p>
    <w:p>
      <w:pPr>
        <w:pStyle w:val="Heading1"/>
        <w:spacing w:after="120" w:before="240"/>
      </w:pPr>
      <w:r>
        <w:rPr>
          <w:rFonts w:ascii="Calibri" w:cs="Calibri" w:eastAsia="Calibri" w:hAnsi="Calibri"/>
          <w:b/>
          <w:bCs/>
        </w:rPr>
        <w:t xml:space="preserve">Dilemma</w:t>
      </w:r>
    </w:p>
    <w:p>
      <w:pPr>
        <w:spacing w:after="160"/>
      </w:pPr>
      <w:r>
        <w:rPr>
          <w:rFonts w:ascii="Calibri" w:cs="Calibri" w:eastAsia="Calibri" w:hAnsi="Calibri"/>
          <w:b/>
          <w:bCs/>
        </w:rPr>
        <w:t xml:space="preserve">You are Wei Zhang.</w:t>
      </w:r>
    </w:p>
    <w:p>
      <w:pPr>
        <w:spacing w:after="160"/>
      </w:pPr>
      <w:r>
        <w:rPr>
          <w:rFonts w:ascii="Calibri" w:cs="Calibri" w:eastAsia="Calibri" w:hAnsi="Calibri"/>
        </w:rPr>
        <w:t xml:space="preserve">Do you:</w:t>
      </w:r>
    </w:p>
    <w:p>
      <w:pPr>
        <w:spacing w:after="160"/>
      </w:pPr>
      <w:r>
        <w:rPr>
          <w:rFonts w:ascii="Calibri" w:cs="Calibri" w:eastAsia="Calibri" w:hAnsi="Calibri"/>
        </w:rPr>
        <w:t xml:space="preserve">A.) Recommend the Column Bid — the standard cylindrical stirred-tank bioreactor OR</w:t>
      </w:r>
    </w:p>
    <w:p>
      <w:pPr>
        <w:spacing w:after="160"/>
      </w:pPr>
      <w:r>
        <w:rPr>
          <w:rFonts w:ascii="Calibri" w:cs="Calibri" w:eastAsia="Calibri" w:hAnsi="Calibri"/>
        </w:rPr>
        <w:t xml:space="preserve">B.) Recommend the Wave Bid — the wave/rocking bioreactor with the curved bag profile</w:t>
      </w:r>
    </w:p>
    <w:p>
      <w:pPr>
        <w:pStyle w:val="Heading1"/>
        <w:spacing w:after="120" w:before="240"/>
      </w:pPr>
      <w:r>
        <w:rPr>
          <w:rFonts w:ascii="Calibri" w:cs="Calibri" w:eastAsia="Calibri" w:hAnsi="Calibri"/>
          <w:b/>
          <w:bCs/>
        </w:rPr>
        <w:t xml:space="preserve">Challenges</w:t>
      </w:r>
    </w:p>
    <w:p>
      <w:pPr>
        <w:spacing w:after="160"/>
      </w:pPr>
      <w:r>
        <w:rPr>
          <w:rFonts w:ascii="Calibri" w:cs="Calibri" w:eastAsia="Calibri" w:hAnsi="Calibri"/>
        </w:rPr>
        <w:t xml:space="preserve">1.) Research and find an online resource that answers one of the “how to…” questions from the case study launch. Post a link to the resource as your submission.</w:t>
      </w:r>
    </w:p>
    <w:p>
      <w:pPr>
        <w:spacing w:after="160"/>
      </w:pPr>
      <w:r>
        <w:rPr>
          <w:rFonts w:ascii="Calibri" w:cs="Calibri" w:eastAsia="Calibri" w:hAnsi="Calibri"/>
        </w:rPr>
        <w:t xml:space="preserve">2.) Post 250 or more “excellent” words pitching a firm stance to your audience on which you would choose and why. Your pitch must include:</w:t>
      </w:r>
    </w:p>
    <w:p>
      <w:pPr>
        <w:pStyle w:val="ListParagraph"/>
        <w:numPr>
          <w:ilvl w:val="0"/>
          <w:numId w:val="2"/>
        </w:numPr>
        <w:spacing w:after="80"/>
      </w:pPr>
      <w:r>
        <w:rPr>
          <w:rFonts w:ascii="Calibri" w:cs="Calibri" w:eastAsia="Calibri" w:hAnsi="Calibri"/>
        </w:rPr>
        <w:t xml:space="preserve">a.) Use of the “how to…” resource you researched in Challenge 1.</w:t>
      </w:r>
    </w:p>
    <w:p>
      <w:pPr>
        <w:pStyle w:val="ListParagraph"/>
        <w:numPr>
          <w:ilvl w:val="0"/>
          <w:numId w:val="2"/>
        </w:numPr>
        <w:spacing w:after="80"/>
      </w:pPr>
      <w:r>
        <w:rPr>
          <w:rFonts w:ascii="Calibri" w:cs="Calibri" w:eastAsia="Calibri" w:hAnsi="Calibri"/>
        </w:rPr>
        <w:t xml:space="preserve">b.) At least one original visual display of the data.</w:t>
      </w:r>
    </w:p>
    <w:p>
      <w:pPr>
        <w:spacing w:after="160"/>
      </w:pPr>
      <w:r>
        <w:rPr>
          <w:rFonts w:ascii="Calibri" w:cs="Calibri" w:eastAsia="Calibri" w:hAnsi="Calibri"/>
        </w:rPr>
        <w:t xml:space="preserve">3.) Your pitch must include:</w:t>
      </w:r>
    </w:p>
    <w:p>
      <w:pPr>
        <w:pStyle w:val="ListParagraph"/>
        <w:numPr>
          <w:ilvl w:val="0"/>
          <w:numId w:val="2"/>
        </w:numPr>
        <w:spacing w:after="80"/>
      </w:pPr>
      <w:r>
        <w:rPr>
          <w:rFonts w:ascii="Calibri" w:cs="Calibri" w:eastAsia="Calibri" w:hAnsi="Calibri"/>
        </w:rPr>
        <w:t xml:space="preserve">D1. A net-cumulative-yield calculation for the batch — the area between the feed-rate curve and the uptake-rate curve from Appendix A, in liters of viable product per liter of working volume, with your work shown.</w:t>
      </w:r>
    </w:p>
    <w:p>
      <w:pPr>
        <w:pStyle w:val="ListParagraph"/>
        <w:numPr>
          <w:ilvl w:val="0"/>
          <w:numId w:val="2"/>
        </w:numPr>
        <w:spacing w:after="80"/>
      </w:pPr>
      <w:r>
        <w:rPr>
          <w:rFonts w:ascii="Calibri" w:cs="Calibri" w:eastAsia="Calibri" w:hAnsi="Calibri"/>
        </w:rPr>
        <w:t xml:space="preserve">D2. A working-volume calculation for each vessel at the target fill level: for the Column Bid, the cylinder-volume formula applied to Appendix B's dimensions; for the Wave Bid, the disk-method integral of the bag's cross-sectional profile from Appendix C, including a labeled diagram of the solid of revolution you integrated.</w:t>
      </w:r>
    </w:p>
    <w:p>
      <w:pPr>
        <w:pStyle w:val="ListParagraph"/>
        <w:numPr>
          <w:ilvl w:val="0"/>
          <w:numId w:val="2"/>
        </w:numPr>
        <w:spacing w:after="80"/>
      </w:pPr>
      <w:r>
        <w:rPr>
          <w:rFonts w:ascii="Calibri" w:cs="Calibri" w:eastAsia="Calibri" w:hAnsi="Calibri"/>
        </w:rPr>
        <w:t xml:space="preserve">D3. A total-yield table showing liters of viable product for each vessel option (D1's per-liter net yield multiplied by each vessel's D2 working volume).</w:t>
      </w:r>
    </w:p>
    <w:p>
      <w:pPr>
        <w:pStyle w:val="ListParagraph"/>
        <w:numPr>
          <w:ilvl w:val="0"/>
          <w:numId w:val="2"/>
        </w:numPr>
        <w:spacing w:after="80"/>
      </w:pPr>
      <w:r>
        <w:rPr>
          <w:rFonts w:ascii="Calibri" w:cs="Calibri" w:eastAsia="Calibri" w:hAnsi="Calibri"/>
        </w:rPr>
        <w:t xml:space="preserve">D4. A yield-per-dollar comparison: liters of viable product yielded per dollar of total vessel cost (vessel plus validation, from Appendices B, C, and D), for both options.</w:t>
      </w:r>
    </w:p>
    <w:p>
      <w:pPr>
        <w:pStyle w:val="ListParagraph"/>
        <w:numPr>
          <w:ilvl w:val="0"/>
          <w:numId w:val="2"/>
        </w:numPr>
        <w:spacing w:after="80"/>
      </w:pPr>
      <w:r>
        <w:rPr>
          <w:rFonts w:ascii="Calibri" w:cs="Calibri" w:eastAsia="Calibri" w:hAnsi="Calibri"/>
        </w:rPr>
        <w:t xml:space="preserve">D5. An original visual display of the feed-rate and uptake-rate curves from Appendix A, with the area you used in D1 shaded and labeled.</w:t>
      </w:r>
    </w:p>
    <w:p>
      <w:pPr>
        <w:spacing w:after="160"/>
      </w:pPr>
      <w:r>
        <w:rPr>
          <w:rFonts w:ascii="Calibri" w:cs="Calibri" w:eastAsia="Calibri" w:hAnsi="Calibri"/>
        </w:rPr>
        <w:t xml:space="preserve">4.) An appendix showing evidence of your original thinking, work, calculations and processes you used to complete the challenges (pictures, screenshots, notes, etc.). Your work in the appendix does not count toward your word count.</w:t>
      </w:r>
    </w:p>
    <w:p>
      <w:pPr>
        <w:spacing w:after="160"/>
      </w:pPr>
      <w:r>
        <w:rPr>
          <w:rFonts w:ascii="Calibri" w:cs="Calibri" w:eastAsia="Calibri" w:hAnsi="Calibri"/>
        </w:rPr>
        <w:t xml:space="preserve">5.) Participate twice or more in the Case Study discussion. *If you are absent the day of a discussion post 500 “excellent” words on the questions above.</w:t>
      </w:r>
    </w:p>
    <w:p>
      <w:r>
        <w:br w:type="page"/>
      </w:r>
    </w:p>
    <w:p>
      <w:pPr>
        <w:pStyle w:val="Heading1"/>
        <w:spacing w:after="120" w:before="240"/>
      </w:pPr>
      <w:r>
        <w:rPr>
          <w:rFonts w:ascii="Calibri" w:cs="Calibri" w:eastAsia="Calibri" w:hAnsi="Calibri"/>
          <w:b/>
          <w:bCs/>
        </w:rPr>
        <w:t xml:space="preserve">Appendix A — Batch Growth Kinetics: Feed Rate and Uptake Rate</w:t>
      </w:r>
    </w:p>
    <w:p>
      <w:pPr>
        <w:spacing w:after="160"/>
      </w:pPr>
      <w:r>
        <w:rPr>
          <w:rFonts w:ascii="Calibri" w:cs="Calibri" w:eastAsia="Calibri" w:hAnsi="Calibri"/>
        </w:rPr>
        <w:t xml:space="preserve">The client's process team supplied the following nutrient feed-rate and metabolic uptake-rate data for the batch. No public dataset reports day-by-day feed/uptake rates in these units for this case's (unnamed) cell line, so the table below is a stated modeling assumption shaped like the qualitative pattern of a real fed-batch Monod-kinetics run — feed held roughly steady while uptake rises to meet it — rather than a citation to a specific published curve (SEE APPENDIX E, MA6). Both curves are given per liter of working volume so they apply to either vessel once you know its working volume (SEE APPENDIX B and APPENDIX C).</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00"/>
      </w:tblGrid>
      <w:tr>
        <w:trPr>
          <w:tblHeader/>
        </w:trPr>
        <w:tc>
          <w:tcPr>
            <w:tcW w:type="dxa" w:w="3000"/>
            <w:shd w:fill="D9E2F3" w:color="auto"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Batch time (day)</w:t>
            </w:r>
          </w:p>
        </w:tc>
        <w:tc>
          <w:tcPr>
            <w:tcW w:type="dxa" w:w="3300"/>
            <w:shd w:fill="D9E2F3" w:color="auto"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Feed rate (g/L/day)</w:t>
            </w:r>
          </w:p>
        </w:tc>
        <w:tc>
          <w:tcPr>
            <w:tcW w:type="dxa" w:w="3300"/>
            <w:shd w:fill="D9E2F3" w:color="auto"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Uptake rate (g/L/day)</w:t>
            </w:r>
          </w:p>
        </w:tc>
      </w:tr>
      <w:tr>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0</w:t>
            </w:r>
          </w:p>
        </w:tc>
        <w:tc>
          <w:tcPr>
            <w:tcW w:type="dxa" w:w="33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8 [MA6]</w:t>
            </w:r>
          </w:p>
        </w:tc>
        <w:tc>
          <w:tcPr>
            <w:tcW w:type="dxa" w:w="33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2 [MA6]</w:t>
            </w:r>
          </w:p>
        </w:tc>
      </w:tr>
      <w:tr>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1</w:t>
            </w:r>
          </w:p>
        </w:tc>
        <w:tc>
          <w:tcPr>
            <w:tcW w:type="dxa" w:w="33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10 [MA6]</w:t>
            </w:r>
          </w:p>
        </w:tc>
        <w:tc>
          <w:tcPr>
            <w:tcW w:type="dxa" w:w="33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4 [MA6]</w:t>
            </w:r>
          </w:p>
        </w:tc>
      </w:tr>
      <w:tr>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2</w:t>
            </w:r>
          </w:p>
        </w:tc>
        <w:tc>
          <w:tcPr>
            <w:tcW w:type="dxa" w:w="33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12 [MA6]</w:t>
            </w:r>
          </w:p>
        </w:tc>
        <w:tc>
          <w:tcPr>
            <w:tcW w:type="dxa" w:w="33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7 [MA6]</w:t>
            </w:r>
          </w:p>
        </w:tc>
      </w:tr>
      <w:tr>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3</w:t>
            </w:r>
          </w:p>
        </w:tc>
        <w:tc>
          <w:tcPr>
            <w:tcW w:type="dxa" w:w="33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13 [MA6]</w:t>
            </w:r>
          </w:p>
        </w:tc>
        <w:tc>
          <w:tcPr>
            <w:tcW w:type="dxa" w:w="33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9 [MA6]</w:t>
            </w:r>
          </w:p>
        </w:tc>
      </w:tr>
      <w:tr>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4</w:t>
            </w:r>
          </w:p>
        </w:tc>
        <w:tc>
          <w:tcPr>
            <w:tcW w:type="dxa" w:w="33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13 [MA6]</w:t>
            </w:r>
          </w:p>
        </w:tc>
        <w:tc>
          <w:tcPr>
            <w:tcW w:type="dxa" w:w="33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11 [MA6]</w:t>
            </w:r>
          </w:p>
        </w:tc>
      </w:tr>
      <w:tr>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5</w:t>
            </w:r>
          </w:p>
        </w:tc>
        <w:tc>
          <w:tcPr>
            <w:tcW w:type="dxa" w:w="33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12 [MA6]</w:t>
            </w:r>
          </w:p>
        </w:tc>
        <w:tc>
          <w:tcPr>
            <w:tcW w:type="dxa" w:w="33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12 [MA6]</w:t>
            </w:r>
          </w:p>
        </w:tc>
      </w:tr>
    </w:tbl>
    <w:p>
      <w:pPr>
        <w:spacing w:after="160"/>
      </w:pPr>
      <w:r>
        <w:rPr>
          <w:rFonts w:ascii="Calibri" w:cs="Calibri" w:eastAsia="Calibri" w:hAnsi="Calibri"/>
        </w:rPr>
        <w:t xml:space="preserve"/>
      </w:r>
    </w:p>
    <w:p>
      <w:pPr>
        <w:spacing w:after="160"/>
      </w:pPr>
      <w:r>
        <w:rPr>
          <w:rFonts w:ascii="Calibri" w:cs="Calibri" w:eastAsia="Calibri" w:hAnsi="Calibri"/>
        </w:rPr>
        <w:t xml:space="preserve">Conversion factor from net accumulated grams per liter to liters of viable product per liter of working volume: 0.05 L per g [MA6].</w:t>
      </w:r>
    </w:p>
    <w:p>
      <w:pPr>
        <w:pStyle w:val="Heading1"/>
        <w:spacing w:after="120" w:before="240"/>
      </w:pPr>
      <w:r>
        <w:rPr>
          <w:rFonts w:ascii="Calibri" w:cs="Calibri" w:eastAsia="Calibri" w:hAnsi="Calibri"/>
          <w:b/>
          <w:bCs/>
        </w:rPr>
        <w:t xml:space="preserve">Appendix B — Column Bid Vessel Spec Sheet (Stirred-Tank Bioreactor)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D9E2F3" w:color="auto"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
            </w:r>
          </w:p>
        </w:tc>
        <w:tc>
          <w:tcPr>
            <w:tcW w:type="dxa" w:w="4800"/>
            <w:shd w:fill="D9E2F3" w:color="auto"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Column Bid</w:t>
            </w:r>
          </w:p>
        </w:tc>
      </w:tr>
      <w:tr>
        <w:tc>
          <w:tcPr>
            <w:tcW w:type="dxa" w:w="48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Vessel shape</w:t>
            </w:r>
          </w:p>
        </w:tc>
        <w:tc>
          <w:tcPr>
            <w:tcW w:type="dxa" w:w="48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Right circular cylinder</w:t>
            </w:r>
          </w:p>
        </w:tc>
      </w:tr>
      <w:tr>
        <w:tc>
          <w:tcPr>
            <w:tcW w:type="dxa" w:w="48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Nominal capacity (L)</w:t>
            </w:r>
          </w:p>
        </w:tc>
        <w:tc>
          <w:tcPr>
            <w:tcW w:type="dxa" w:w="48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50 L [S1]</w:t>
            </w:r>
          </w:p>
        </w:tc>
      </w:tr>
      <w:tr>
        <w:tc>
          <w:tcPr>
            <w:tcW w:type="dxa" w:w="48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Internal diameter (cm)</w:t>
            </w:r>
          </w:p>
        </w:tc>
        <w:tc>
          <w:tcPr>
            <w:tcW w:type="dxa" w:w="48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30.5 cm [S1] (derived)</w:t>
            </w:r>
          </w:p>
        </w:tc>
      </w:tr>
      <w:tr>
        <w:tc>
          <w:tcPr>
            <w:tcW w:type="dxa" w:w="48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Straight-side height (cm)</w:t>
            </w:r>
          </w:p>
        </w:tc>
        <w:tc>
          <w:tcPr>
            <w:tcW w:type="dxa" w:w="48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68.6 cm [S1] (derived)</w:t>
            </w:r>
          </w:p>
        </w:tc>
      </w:tr>
      <w:tr>
        <w:tc>
          <w:tcPr>
            <w:tcW w:type="dxa" w:w="48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Vessel purchase cost (USD)</w:t>
            </w:r>
          </w:p>
        </w:tc>
        <w:tc>
          <w:tcPr>
            <w:tcW w:type="dxa" w:w="48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$28,864 [S2]</w:t>
            </w:r>
          </w:p>
        </w:tc>
      </w:tr>
      <w:tr>
        <w:tc>
          <w:tcPr>
            <w:tcW w:type="dxa" w:w="48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Validation cost (USD)</w:t>
            </w:r>
          </w:p>
        </w:tc>
        <w:tc>
          <w:tcPr>
            <w:tcW w:type="dxa" w:w="48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$15,000 [MA1]</w:t>
            </w:r>
          </w:p>
        </w:tc>
      </w:tr>
    </w:tbl>
    <w:p>
      <w:pPr>
        <w:spacing w:after="160"/>
      </w:pPr>
      <w:r>
        <w:rPr>
          <w:rFonts w:ascii="Calibri" w:cs="Calibri" w:eastAsia="Calibri" w:hAnsi="Calibri"/>
        </w:rPr>
        <w:t xml:space="preserve"/>
      </w:r>
    </w:p>
    <w:p>
      <w:pPr>
        <w:spacing w:after="160"/>
      </w:pPr>
      <w:r>
        <w:rPr>
          <w:rFonts w:ascii="Calibri" w:cs="Calibri" w:eastAsia="Calibri" w:hAnsi="Calibri"/>
          <w:i/>
          <w:iCs/>
        </w:rPr>
        <w:t xml:space="preserve">Derivation of internal diameter and straight-side height [S1]: the XDR-50 datasheet reports a 50 L maximum working volume and an aspect ratio H/D = 2.25:1. Solving V = π(D/2)²H with H = 2.25D gives D³ = 50,000 cm³ ÷ (0.5625π) ≈ 28,297 cm³, so D ≈ 30.5 cm and H = 2.25D ≈ 68.6 cm.</w:t>
      </w:r>
    </w:p>
    <w:p>
      <w:pPr>
        <w:pStyle w:val="Heading1"/>
        <w:spacing w:after="120" w:before="240"/>
      </w:pPr>
      <w:r>
        <w:rPr>
          <w:rFonts w:ascii="Calibri" w:cs="Calibri" w:eastAsia="Calibri" w:hAnsi="Calibri"/>
          <w:b/>
          <w:bCs/>
        </w:rPr>
        <w:t xml:space="preserve">Appendix C — Wave Bid Vessel Spec Sheet and Bag Cross-Sectional Profile</w:t>
      </w:r>
    </w:p>
    <w:p>
      <w:pPr>
        <w:spacing w:after="160"/>
      </w:pPr>
      <w:r>
        <w:rPr>
          <w:rFonts w:ascii="Calibri" w:cs="Calibri" w:eastAsia="Calibri" w:hAnsi="Calibri"/>
        </w:rPr>
        <w:t xml:space="preserve">The wave/rocking bag does not fill as a cylinder. Its cross-sectional radius changes with fill height as the flexible bag bulges under the rocking motion. No manufacturer publishes a bag radius-vs-height profile for a rocking-motion bag (SEE APPENDIX E, MA7) — the profile below is a stated modeling assumption built on the bag's nominal working volume, not a vendor measurement: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D9E2F3" w:color="auto"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Height above base, h (cm)</w:t>
            </w:r>
          </w:p>
        </w:tc>
        <w:tc>
          <w:tcPr>
            <w:tcW w:type="dxa" w:w="4800"/>
            <w:shd w:fill="D9E2F3" w:color="auto"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Bag cross-sectional radius, r(h) (cm)</w:t>
            </w:r>
          </w:p>
        </w:tc>
      </w:tr>
      <w:tr>
        <w:tc>
          <w:tcPr>
            <w:tcW w:type="dxa" w:w="48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0</w:t>
            </w:r>
          </w:p>
        </w:tc>
        <w:tc>
          <w:tcPr>
            <w:tcW w:type="dxa" w:w="48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0 cm [MA7]</w:t>
            </w:r>
          </w:p>
        </w:tc>
      </w:tr>
      <w:tr>
        <w:tc>
          <w:tcPr>
            <w:tcW w:type="dxa" w:w="48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6 cm [MA7]</w:t>
            </w:r>
          </w:p>
        </w:tc>
        <w:tc>
          <w:tcPr>
            <w:tcW w:type="dxa" w:w="48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10 cm [MA7]</w:t>
            </w:r>
          </w:p>
        </w:tc>
      </w:tr>
      <w:tr>
        <w:tc>
          <w:tcPr>
            <w:tcW w:type="dxa" w:w="48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12 cm [MA7]</w:t>
            </w:r>
          </w:p>
        </w:tc>
        <w:tc>
          <w:tcPr>
            <w:tcW w:type="dxa" w:w="48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16 cm [MA7]</w:t>
            </w:r>
          </w:p>
        </w:tc>
      </w:tr>
      <w:tr>
        <w:tc>
          <w:tcPr>
            <w:tcW w:type="dxa" w:w="48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18 cm [MA7]</w:t>
            </w:r>
          </w:p>
        </w:tc>
        <w:tc>
          <w:tcPr>
            <w:tcW w:type="dxa" w:w="48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19 cm [MA7]</w:t>
            </w:r>
          </w:p>
        </w:tc>
      </w:tr>
      <w:tr>
        <w:tc>
          <w:tcPr>
            <w:tcW w:type="dxa" w:w="48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24 cm [MA7]</w:t>
            </w:r>
          </w:p>
        </w:tc>
        <w:tc>
          <w:tcPr>
            <w:tcW w:type="dxa" w:w="48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20 cm [MA7]</w:t>
            </w:r>
          </w:p>
        </w:tc>
      </w:tr>
    </w:tbl>
    <w:p>
      <w:pPr>
        <w:spacing w:after="160"/>
      </w:pPr>
      <w:r>
        <w:rPr>
          <w:rFonts w:ascii="Calibri" w:cs="Calibri" w:eastAsia="Calibri" w:hAnsi="Calibri"/>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D9E2F3" w:color="auto"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
            </w:r>
          </w:p>
        </w:tc>
        <w:tc>
          <w:tcPr>
            <w:tcW w:type="dxa" w:w="4800"/>
            <w:shd w:fill="D9E2F3" w:color="auto"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Wave Bid</w:t>
            </w:r>
          </w:p>
        </w:tc>
      </w:tr>
      <w:tr>
        <w:tc>
          <w:tcPr>
            <w:tcW w:type="dxa" w:w="48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Vessel shape</w:t>
            </w:r>
          </w:p>
        </w:tc>
        <w:tc>
          <w:tcPr>
            <w:tcW w:type="dxa" w:w="48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Rocking bag, non-cylindrical solid of revolution</w:t>
            </w:r>
          </w:p>
        </w:tc>
      </w:tr>
      <w:tr>
        <w:tc>
          <w:tcPr>
            <w:tcW w:type="dxa" w:w="48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Nominal capacity (L)</w:t>
            </w:r>
          </w:p>
        </w:tc>
        <w:tc>
          <w:tcPr>
            <w:tcW w:type="dxa" w:w="48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50 L [S3]</w:t>
            </w:r>
          </w:p>
        </w:tc>
      </w:tr>
      <w:tr>
        <w:tc>
          <w:tcPr>
            <w:tcW w:type="dxa" w:w="48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Vessel (single-use bag system) purchase cost (USD)</w:t>
            </w:r>
          </w:p>
        </w:tc>
        <w:tc>
          <w:tcPr>
            <w:tcW w:type="dxa" w:w="48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$8,000 [S4]</w:t>
            </w:r>
          </w:p>
        </w:tc>
      </w:tr>
      <w:tr>
        <w:tc>
          <w:tcPr>
            <w:tcW w:type="dxa" w:w="48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Validation cost (USD)</w:t>
            </w:r>
          </w:p>
        </w:tc>
        <w:tc>
          <w:tcPr>
            <w:tcW w:type="dxa" w:w="48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$10,000 [MA2]</w:t>
            </w:r>
          </w:p>
        </w:tc>
      </w:tr>
    </w:tbl>
    <w:p>
      <w:pPr>
        <w:pStyle w:val="Heading1"/>
        <w:spacing w:after="120" w:before="240"/>
      </w:pPr>
      <w:r>
        <w:rPr>
          <w:rFonts w:ascii="Calibri" w:cs="Calibri" w:eastAsia="Calibri" w:hAnsi="Calibri"/>
          <w:b/>
          <w:bCs/>
        </w:rPr>
        <w:t xml:space="preserve">Appendix D — Program Cost Context</w:t>
      </w:r>
    </w:p>
    <w:p>
      <w:pPr>
        <w:spacing w:after="160"/>
      </w:pPr>
      <w:r>
        <w:rPr>
          <w:rFonts w:ascii="Calibri" w:cs="Calibri" w:eastAsia="Calibri" w:hAnsi="Calibri"/>
        </w:rPr>
        <w:t xml:space="preserve">CDMO per-run vessel and validation costs vary by facility and are not independently published per contract. This appendix anchors the cost figures in Appendices B and C to a named industry pricing-benchmark source rather than a specific, unpublishable client contract: BioPlan Associates, 22nd Annual Report and Survey of Biopharmaceutical Manufacturing Capacity and Production (April 2025) [S6]. Note: the exact per-vessel validation dollar figures in Appendices B and C are not drawn from this report's paywalled data tables — see Modeling Assumptions MA1–MA2 below.</w:t>
      </w:r>
    </w:p>
    <w:p>
      <w:pPr>
        <w:pStyle w:val="Heading1"/>
        <w:spacing w:after="120" w:before="240"/>
      </w:pPr>
      <w:r>
        <w:rPr>
          <w:rFonts w:ascii="Calibri" w:cs="Calibri" w:eastAsia="Calibri" w:hAnsi="Calibri"/>
          <w:b/>
          <w:bCs/>
        </w:rPr>
        <w:t xml:space="preserve">Modeling Assumptions</w:t>
      </w:r>
    </w:p>
    <w:p>
      <w:pPr>
        <w:spacing w:after="160"/>
      </w:pPr>
      <w:r>
        <w:rPr>
          <w:rFonts w:ascii="Calibri" w:cs="Calibri" w:eastAsia="Calibri" w:hAnsi="Calibri"/>
          <w:i/>
          <w:iCs/>
        </w:rPr>
        <w:t xml:space="preserve">These figures are not sourced. They are stated scenario assumptions chosen by the case author because no public source exists for a specific, unpublishable client contract or for a proprietary bag geometry. A Hero may challenge them in discussion — that is a legitimate move.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400"/>
        <w:gridCol w:w="3200"/>
        <w:gridCol w:w="2400"/>
      </w:tblGrid>
      <w:tr>
        <w:trPr>
          <w:tblHeader/>
        </w:trPr>
        <w:tc>
          <w:tcPr>
            <w:tcW w:type="dxa" w:w="700"/>
            <w:shd w:fill="D9E2F3" w:color="auto"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w:t>
            </w:r>
          </w:p>
        </w:tc>
        <w:tc>
          <w:tcPr>
            <w:tcW w:type="dxa" w:w="1900"/>
            <w:shd w:fill="D9E2F3" w:color="auto"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Assumption</w:t>
            </w:r>
          </w:p>
        </w:tc>
        <w:tc>
          <w:tcPr>
            <w:tcW w:type="dxa" w:w="1400"/>
            <w:shd w:fill="D9E2F3" w:color="auto"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Value used</w:t>
            </w:r>
          </w:p>
        </w:tc>
        <w:tc>
          <w:tcPr>
            <w:tcW w:type="dxa" w:w="3200"/>
            <w:shd w:fill="D9E2F3" w:color="auto"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Basis</w:t>
            </w:r>
          </w:p>
        </w:tc>
        <w:tc>
          <w:tcPr>
            <w:tcW w:type="dxa" w:w="2400"/>
            <w:shd w:fill="D9E2F3" w:color="auto" w:val="clear"/>
            <w:tcMar>
              <w:top w:type="dxa" w:w="60"/>
              <w:left w:type="dxa" w:w="100"/>
              <w:bottom w:type="dxa" w:w="60"/>
              <w:right w:type="dxa" w:w="100"/>
            </w:tcMar>
            <w:vAlign w:val="center"/>
          </w:tcPr>
          <w:p>
            <w:pPr>
              <w:jc w:val="left"/>
            </w:pPr>
            <w:r>
              <w:rPr>
                <w:rFonts w:ascii="Calibri" w:cs="Calibri" w:eastAsia="Calibri" w:hAnsi="Calibri"/>
                <w:b/>
                <w:bCs/>
                <w:sz w:val="20"/>
                <w:szCs w:val="20"/>
              </w:rPr>
              <w:t xml:space="preserve">Sensitivity</w:t>
            </w:r>
          </w:p>
        </w:tc>
      </w:tr>
      <w:tr>
        <w:tc>
          <w:tcPr>
            <w:tcW w:type="dxa" w:w="7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MA1</w:t>
            </w:r>
          </w:p>
        </w:tc>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Column Bid validation cost</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$15,000</w:t>
            </w:r>
          </w:p>
        </w:tc>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No public per-vessel validation-cost benchmark exists for a 50 L single-use stirred-tank system; the named industry benchmark (BioPlan Associates, SEE APPENDIX D [S6]) tracks this trend but its dollar tables are subscription-gated. The case fixes a representative commissioning/validation cost.</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Raising or lowering MA1 changes each vessel's total cost and therefore its yield-per-dollar figure — the D4 comparison is sensitive to this value.</w:t>
            </w:r>
          </w:p>
        </w:tc>
      </w:tr>
      <w:tr>
        <w:tc>
          <w:tcPr>
            <w:tcW w:type="dxa" w:w="7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MA2</w:t>
            </w:r>
          </w:p>
        </w:tc>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Wave Bid validation cost</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$10,000</w:t>
            </w:r>
          </w:p>
        </w:tc>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Single-use bag systems are reported to reduce CIP/SIP validation burden vs. reusable stirred tanks (qualitative finding) [S8], but no quantitative benchmark is public. The case sets a lower stated value reflecting that qualitative direction.</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Same kind of sensitivity as MA1 — moves the Wave Bid's total cost and its D4 figure.</w:t>
            </w:r>
          </w:p>
        </w:tc>
      </w:tr>
      <w:tr>
        <w:tc>
          <w:tcPr>
            <w:tcW w:type="dxa" w:w="7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MA3</w:t>
            </w:r>
          </w:p>
        </w:tc>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Batch duration</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5 days</w:t>
            </w:r>
          </w:p>
        </w:tc>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Forced by Appendix A's table (6 rows, days 0–5). Real fed-batch mAb runs are typically 10–14 days [S7]; 5 days is a deliberately compressed pedagogical timeline, not a sourced client duration.</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Does not change the dilemma directly — it only bounds the Appendix A table's domain.</w:t>
            </w:r>
          </w:p>
        </w:tc>
      </w:tr>
      <w:tr>
        <w:tc>
          <w:tcPr>
            <w:tcW w:type="dxa" w:w="7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MA4</w:t>
            </w:r>
          </w:p>
        </w:tc>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Client's minimum total viable product yield</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25 L</w:t>
            </w:r>
          </w:p>
        </w:tc>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No public source exists for a specific client's contractual minimum. Set so the constraint is genuinely load-bearing against at least one vessel's computed working volume, not decorative.</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The dilemma is highly sensitive to exactly where this floor is set — moving it can change which vessel's working volume clears it, and whether the recommendation ends up decided by dollar-efficiency or by this floor instead.</w:t>
            </w:r>
          </w:p>
        </w:tc>
      </w:tr>
      <w:tr>
        <w:tc>
          <w:tcPr>
            <w:tcW w:type="dxa" w:w="7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MA5</w:t>
            </w:r>
          </w:p>
        </w:tc>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CRO program budget cap</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$50,000</w:t>
            </w:r>
          </w:p>
        </w:tc>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No public source for a specific program's capex/validation ceiling. Set comfortably above both options' total costs so budget is not the binding constraint.</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Not binding at the stated value. Lowering it enough would eliminate one option regardless of the yield floor.</w:t>
            </w:r>
          </w:p>
        </w:tc>
      </w:tr>
      <w:tr>
        <w:tc>
          <w:tcPr>
            <w:tcW w:type="dxa" w:w="7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MA6</w:t>
            </w:r>
          </w:p>
        </w:tc>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Appendix A feed-rate/uptake-rate table (12 values) and product-mass-to-volume conversion factor (0.05 L/g)</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See Appendix A</w:t>
            </w:r>
          </w:p>
        </w:tc>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No public day-by-day feed/uptake dataset in g/L/day exists for this (unnamed) cell line. Published CHO fed-batch metabolic-rate data exists but only in cell-count- or cell-volume-normalized units, which would require additional unsourced conversions to reach g/L/day. The case authors a table shaped like the qualitative pattern of real Monod-style kinetics.</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This table's area (net yield per liter) applies identically to both vessels' totals, so by itself it does not favor one option — but its absolute scale determines whether the MA4 yield floor binds at all.</w:t>
            </w:r>
          </w:p>
        </w:tc>
      </w:tr>
      <w:tr>
        <w:tc>
          <w:tcPr>
            <w:tcW w:type="dxa" w:w="7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MA7</w:t>
            </w:r>
          </w:p>
        </w:tc>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Appendix C bag radius profile r(h) (5 height/radius pairs)</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See Appendix C</w:t>
            </w:r>
          </w:p>
        </w:tc>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No manufacturer publishes a cross-sectional radius-vs-height profile for a rocking-motion bag; Sartorius's own Flexsafe RM datasheet [S3] offers only bag volume sizes, and custom bag geometry is stated as “engineered to order” (proprietary). The case authors a physically plausible increasing-bulge profile.</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0"/>
                <w:szCs w:val="20"/>
              </w:rPr>
              <w:t xml:space="preserve">Directly sets the Wave Bid's working volume — the load-bearing quantity for D2–D4 and for the MA4 yield-floor check. A flatter or taller profile could change whether the Wave Bid clears that floor and reopen the dilemma.</w:t>
            </w:r>
          </w:p>
        </w:tc>
      </w:tr>
    </w:tbl>
    <w:p>
      <w:pPr>
        <w:pStyle w:val="Heading1"/>
        <w:spacing w:after="120" w:before="240"/>
      </w:pPr>
      <w:r>
        <w:rPr>
          <w:rFonts w:ascii="Calibri" w:cs="Calibri" w:eastAsia="Calibri" w:hAnsi="Calibri"/>
          <w:b/>
          <w:bCs/>
        </w:rPr>
        <w:t xml:space="preserve">Appendix E — Sources</w:t>
      </w:r>
    </w:p>
    <w:p>
      <w:pPr>
        <w:spacing w:after="160"/>
      </w:pPr>
      <w:r>
        <w:rPr>
          <w:rFonts w:ascii="Calibri" w:cs="Calibri" w:eastAsia="Calibri" w:hAnsi="Calibri"/>
          <w:b/>
          <w:bCs/>
        </w:rPr>
        <w:t xml:space="preserve">S1 — </w:t>
      </w:r>
      <w:r>
        <w:rPr>
          <w:rFonts w:ascii="Calibri" w:cs="Calibri" w:eastAsia="Calibri" w:hAnsi="Calibri"/>
        </w:rPr>
        <w:t xml:space="preserve">Column Bid nominal capacity; aspect ratio (H/D) used to derive internal diameter and straight-side height. Value: 50 L; H/D = 2.25:1 → D ≈ 30.5 cm, H ≈ 68.6 cm. Source: Cytiva — </w:t>
      </w:r>
      <w:hyperlink w:history="1" r:id="rIdjt8e8csgyq-0oist_0csd">
        <w:r>
          <w:rPr>
            <w:rStyle w:val="Hyperlink"/>
            <w:rFonts w:ascii="Calibri" w:cs="Calibri" w:eastAsia="Calibri" w:hAnsi="Calibri"/>
          </w:rPr>
          <w:t xml:space="preserve">Xcellerex XDR-50 to XDR-2000 Cell Culture Bioreactor Systems datasheet</w:t>
        </w:r>
      </w:hyperlink>
      <w:r>
        <w:rPr>
          <w:rFonts w:ascii="Calibri" w:cs="Calibri" w:eastAsia="Calibri" w:hAnsi="Calibri"/>
        </w:rPr>
        <w:t xml:space="preserve">, Table 1. Date: 2026 (current edition). Confidence: HIGH (capacity, direct); MEDIUM (diameter/height, derived from a published ratio).</w:t>
      </w:r>
    </w:p>
    <w:p>
      <w:pPr>
        <w:spacing w:after="160"/>
      </w:pPr>
      <w:r>
        <w:rPr>
          <w:rFonts w:ascii="Calibri" w:cs="Calibri" w:eastAsia="Calibri" w:hAnsi="Calibri"/>
          <w:b/>
          <w:bCs/>
        </w:rPr>
        <w:t xml:space="preserve">S2 — </w:t>
      </w:r>
      <w:r>
        <w:rPr>
          <w:rFonts w:ascii="Calibri" w:cs="Calibri" w:eastAsia="Calibri" w:hAnsi="Calibri"/>
        </w:rPr>
        <w:t xml:space="preserve">Column Bid vessel purchase cost. Value: $28,864. Source: REUZEit — </w:t>
      </w:r>
      <w:hyperlink w:history="1" r:id="rIdpkckvbtonizbxfistyvf5">
        <w:r>
          <w:rPr>
            <w:rStyle w:val="Hyperlink"/>
            <w:rFonts w:ascii="Calibri" w:cs="Calibri" w:eastAsia="Calibri" w:hAnsi="Calibri"/>
          </w:rPr>
          <w:t xml:space="preserve">Xcellerex/Cytiva XDR-50 Bioreactor Single-Use Stirred-Tank 50L Capacity listing</w:t>
        </w:r>
      </w:hyperlink>
      <w:r>
        <w:rPr>
          <w:rFonts w:ascii="Calibri" w:cs="Calibri" w:eastAsia="Calibri" w:hAnsi="Calibri"/>
        </w:rPr>
        <w:t xml:space="preserve">. Date: 2026-08. Confidence: MEDIUM (used-equipment marketplace asking price, not manufacturer new-unit list price — new pricing is quote-gated, confirmed via Sartorius/Cytiva eShop).</w:t>
      </w:r>
    </w:p>
    <w:p>
      <w:pPr>
        <w:spacing w:after="160"/>
      </w:pPr>
      <w:r>
        <w:rPr>
          <w:rFonts w:ascii="Calibri" w:cs="Calibri" w:eastAsia="Calibri" w:hAnsi="Calibri"/>
          <w:b/>
          <w:bCs/>
        </w:rPr>
        <w:t xml:space="preserve">S3 — </w:t>
      </w:r>
      <w:r>
        <w:rPr>
          <w:rFonts w:ascii="Calibri" w:cs="Calibri" w:eastAsia="Calibri" w:hAnsi="Calibri"/>
        </w:rPr>
        <w:t xml:space="preserve">Wave Bid nominal capacity. Value: 50 L (Flexsafe RM 50 L bag, same scale as Column Bid for comparability). Source: Sartorius — </w:t>
      </w:r>
      <w:hyperlink w:history="1" r:id="rIdyti0qu8h-tibeggfulxbf">
        <w:r>
          <w:rPr>
            <w:rStyle w:val="Hyperlink"/>
            <w:rFonts w:ascii="Calibri" w:cs="Calibri" w:eastAsia="Calibri" w:hAnsi="Calibri"/>
          </w:rPr>
          <w:t xml:space="preserve">Biostat RM Rocking Motion Bioreactor Powered by Biobrain, Product Datasheet</w:t>
        </w:r>
      </w:hyperlink>
      <w:r>
        <w:rPr>
          <w:rFonts w:ascii="Calibri" w:cs="Calibri" w:eastAsia="Calibri" w:hAnsi="Calibri"/>
        </w:rPr>
        <w:t xml:space="preserve">, Flexsafe RM Bags ordering table. Date: 2026-02 (last modified per datasheet). Confidence: HIGH.</w:t>
      </w:r>
    </w:p>
    <w:p>
      <w:pPr>
        <w:spacing w:after="160"/>
      </w:pPr>
      <w:r>
        <w:rPr>
          <w:rFonts w:ascii="Calibri" w:cs="Calibri" w:eastAsia="Calibri" w:hAnsi="Calibri"/>
          <w:b/>
          <w:bCs/>
        </w:rPr>
        <w:t xml:space="preserve">S4 — </w:t>
      </w:r>
      <w:r>
        <w:rPr>
          <w:rFonts w:ascii="Calibri" w:cs="Calibri" w:eastAsia="Calibri" w:hAnsi="Calibri"/>
        </w:rPr>
        <w:t xml:space="preserve">Wave Bid vessel (rocker + bag system) purchase cost. Value: $8,000. Source: EquipNet — </w:t>
      </w:r>
      <w:hyperlink w:history="1" r:id="rIdydkdlrjtdu8byr_nwetqu">
        <w:r>
          <w:rPr>
            <w:rStyle w:val="Hyperlink"/>
            <w:rFonts w:ascii="Calibri" w:cs="Calibri" w:eastAsia="Calibri" w:hAnsi="Calibri"/>
          </w:rPr>
          <w:t xml:space="preserve">Sartorius Biostat RM 20-50 Basic Wave Style Bioreactor with Control Tower listing</w:t>
        </w:r>
      </w:hyperlink>
      <w:r>
        <w:rPr>
          <w:rFonts w:ascii="Calibri" w:cs="Calibri" w:eastAsia="Calibri" w:hAnsi="Calibri"/>
        </w:rPr>
        <w:t xml:space="preserve">. Date: 2026-08. Confidence: MEDIUM (used-equipment marketplace asking price for the capital rocker system; does not include per-batch Flexsafe bag consumable cost, which is a separate recurring line item — new pricing is quote-gated).</w:t>
      </w:r>
    </w:p>
    <w:p>
      <w:pPr>
        <w:spacing w:after="160"/>
      </w:pPr>
      <w:r>
        <w:rPr>
          <w:rFonts w:ascii="Calibri" w:cs="Calibri" w:eastAsia="Calibri" w:hAnsi="Calibri"/>
          <w:b/>
          <w:bCs/>
        </w:rPr>
        <w:t xml:space="preserve">S5 — </w:t>
      </w:r>
      <w:r>
        <w:rPr>
          <w:rFonts w:ascii="Calibri" w:cs="Calibri" w:eastAsia="Calibri" w:hAnsi="Calibri"/>
        </w:rPr>
        <w:t xml:space="preserve">Target working fill level, stirred-tank vs. wave/rocking bioreactor. Value: 70–80% (stirred-tank) / 40–50% (wave-mixed); case uses 75% / 45%. Source: </w:t>
      </w:r>
      <w:hyperlink w:history="1" r:id="rIdz3laezajunhbl_rl6g65e">
        <w:r>
          <w:rPr>
            <w:rStyle w:val="Hyperlink"/>
            <w:rFonts w:ascii="Calibri" w:cs="Calibri" w:eastAsia="Calibri" w:hAnsi="Calibri"/>
          </w:rPr>
          <w:t xml:space="preserve">Bioreactor Size: How to Calculate the Volume You Need</w:t>
        </w:r>
      </w:hyperlink>
      <w:r>
        <w:rPr>
          <w:rFonts w:ascii="Calibri" w:cs="Calibri" w:eastAsia="Calibri" w:hAnsi="Calibri"/>
        </w:rPr>
        <w:t xml:space="preserve">, bioprocesstools.com. Date: 2026-08 (accessed). Confidence: MEDIUM (industry engineering resource, not a primary vendor/regulatory publication; undated page).</w:t>
      </w:r>
    </w:p>
    <w:p>
      <w:pPr>
        <w:spacing w:after="160"/>
      </w:pPr>
      <w:r>
        <w:rPr>
          <w:rFonts w:ascii="Calibri" w:cs="Calibri" w:eastAsia="Calibri" w:hAnsi="Calibri"/>
          <w:b/>
          <w:bCs/>
        </w:rPr>
        <w:t xml:space="preserve">S6 — </w:t>
      </w:r>
      <w:r>
        <w:rPr>
          <w:rFonts w:ascii="Calibri" w:cs="Calibri" w:eastAsia="Calibri" w:hAnsi="Calibri"/>
        </w:rPr>
        <w:t xml:space="preserve">Name and year of CDMO industry cost-benchmark survey (anchors the cost figures in Appendices B and C rather than an unpublishable client contract). Value: BioPlan Associates, 22nd Annual Report and Survey of Biopharmaceutical Manufacturing Capacity and Production. Source: </w:t>
      </w:r>
      <w:hyperlink w:history="1" r:id="rIdlhmq8zx_fh0eoqgbvctr5">
        <w:r>
          <w:rPr>
            <w:rStyle w:val="Hyperlink"/>
            <w:rFonts w:ascii="Calibri" w:cs="Calibri" w:eastAsia="Calibri" w:hAnsi="Calibri"/>
          </w:rPr>
          <w:t xml:space="preserve">BioPlan Associates — 22nd Annual Report</w:t>
        </w:r>
      </w:hyperlink>
      <w:r>
        <w:rPr>
          <w:rFonts w:ascii="Calibri" w:cs="Calibri" w:eastAsia="Calibri" w:hAnsi="Calibri"/>
        </w:rPr>
        <w:t xml:space="preserve">. Date: Published 2025-04. Confidence: HIGH (named, dated, primary publisher's own page; report content itself is paywalled — see MA1/MA2).</w:t>
      </w:r>
    </w:p>
    <w:p>
      <w:pPr>
        <w:spacing w:after="160"/>
      </w:pPr>
      <w:r>
        <w:rPr>
          <w:rFonts w:ascii="Calibri" w:cs="Calibri" w:eastAsia="Calibri" w:hAnsi="Calibri"/>
          <w:b/>
          <w:bCs/>
        </w:rPr>
        <w:t xml:space="preserve">S7 — </w:t>
      </w:r>
      <w:r>
        <w:rPr>
          <w:rFonts w:ascii="Calibri" w:cs="Calibri" w:eastAsia="Calibri" w:hAnsi="Calibri"/>
        </w:rPr>
        <w:t xml:space="preserve">Typical fed-batch mAb production run duration (basis for MA3, not a substituted value). Value: 10–14 days. Source: </w:t>
      </w:r>
      <w:hyperlink w:history="1" r:id="rIdr_ppkss-6rkmrxy21sdsf">
        <w:r>
          <w:rPr>
            <w:rStyle w:val="Hyperlink"/>
            <w:rFonts w:ascii="Calibri" w:cs="Calibri" w:eastAsia="Calibri" w:hAnsi="Calibri"/>
          </w:rPr>
          <w:t xml:space="preserve">Exploring the limits of conventional small-scale CHO fed-batch for accelerated on demand monoclonal antibody production</w:t>
        </w:r>
      </w:hyperlink>
      <w:r>
        <w:rPr>
          <w:rFonts w:ascii="Calibri" w:cs="Calibri" w:eastAsia="Calibri" w:hAnsi="Calibri"/>
        </w:rPr>
        <w:t xml:space="preserve">, Bioprocess and Biosystems Engineering. Date: 2021. Confidence: HIGH (peer-reviewed).</w:t>
      </w:r>
    </w:p>
    <w:p>
      <w:pPr>
        <w:spacing w:after="160"/>
      </w:pPr>
      <w:r>
        <w:rPr>
          <w:rFonts w:ascii="Calibri" w:cs="Calibri" w:eastAsia="Calibri" w:hAnsi="Calibri"/>
          <w:b/>
          <w:bCs/>
        </w:rPr>
        <w:t xml:space="preserve">S8 — </w:t>
      </w:r>
      <w:r>
        <w:rPr>
          <w:rFonts w:ascii="Calibri" w:cs="Calibri" w:eastAsia="Calibri" w:hAnsi="Calibri"/>
        </w:rPr>
        <w:t xml:space="preserve">Single-use bag systems reduce CIP/SIP validation burden vs. reusable stirred tanks (qualitative basis for MA2, not a dollar figure). Source: </w:t>
      </w:r>
      <w:hyperlink w:history="1" r:id="rIdwjdp9pwe4vadrgmepj7md">
        <w:r>
          <w:rPr>
            <w:rStyle w:val="Hyperlink"/>
            <w:rFonts w:ascii="Calibri" w:cs="Calibri" w:eastAsia="Calibri" w:hAnsi="Calibri"/>
          </w:rPr>
          <w:t xml:space="preserve">The Total Cost of Ownership: Evaluating Single-Use Bioprocessing Systems</w:t>
        </w:r>
      </w:hyperlink>
      <w:r>
        <w:rPr>
          <w:rFonts w:ascii="Calibri" w:cs="Calibri" w:eastAsia="Calibri" w:hAnsi="Calibri"/>
        </w:rPr>
        <w:t xml:space="preserve">, Lab Manager. Date: 2026-08 (accessed). Confidence: MEDIUM (trade publication, qualitative claim only).</w:t>
      </w:r>
    </w:p>
    <w:p>
      <w:pPr>
        <w:pStyle w:val="Heading1"/>
        <w:spacing w:after="120" w:before="240"/>
      </w:pPr>
      <w:r>
        <w:rPr>
          <w:rFonts w:ascii="Calibri" w:cs="Calibri" w:eastAsia="Calibri" w:hAnsi="Calibri"/>
          <w:b/>
          <w:bCs/>
        </w:rPr>
        <w:t xml:space="preserve">Appendix F — “How To…” Math Questions To Research</w:t>
      </w:r>
    </w:p>
    <w:p>
      <w:pPr>
        <w:spacing w:after="160"/>
      </w:pPr>
      <w:r>
        <w:rPr>
          <w:rFonts w:ascii="Calibri" w:cs="Calibri" w:eastAsia="Calibri" w:hAnsi="Calibri"/>
          <w:b/>
          <w:bCs/>
        </w:rPr>
        <w:t xml:space="preserve">Vocabulary terms</w:t>
      </w:r>
    </w:p>
    <w:p>
      <w:pPr>
        <w:pStyle w:val="ListParagraph"/>
        <w:numPr>
          <w:ilvl w:val="0"/>
          <w:numId w:val="2"/>
        </w:numPr>
        <w:spacing w:after="80"/>
      </w:pPr>
      <w:r>
        <w:rPr>
          <w:rFonts w:ascii="Calibri" w:cs="Calibri" w:eastAsia="Calibri" w:hAnsi="Calibri"/>
        </w:rPr>
        <w:t xml:space="preserve">Volume Of Revolution</w:t>
      </w:r>
    </w:p>
    <w:p>
      <w:pPr>
        <w:pStyle w:val="ListParagraph"/>
        <w:numPr>
          <w:ilvl w:val="0"/>
          <w:numId w:val="2"/>
        </w:numPr>
        <w:spacing w:after="80"/>
      </w:pPr>
      <w:r>
        <w:rPr>
          <w:rFonts w:ascii="Calibri" w:cs="Calibri" w:eastAsia="Calibri" w:hAnsi="Calibri"/>
        </w:rPr>
        <w:t xml:space="preserve">Area Between Two Curves</w:t>
      </w:r>
    </w:p>
    <w:p>
      <w:pPr>
        <w:spacing w:after="160"/>
      </w:pPr>
      <w:r>
        <w:rPr>
          <w:rFonts w:ascii="Calibri" w:cs="Calibri" w:eastAsia="Calibri" w:hAnsi="Calibri"/>
          <w:b/>
          <w:bCs/>
        </w:rPr>
        <w:t xml:space="preserve">“How to…” questions</w:t>
      </w:r>
    </w:p>
    <w:p>
      <w:pPr>
        <w:pStyle w:val="ListParagraph"/>
        <w:numPr>
          <w:ilvl w:val="0"/>
          <w:numId w:val="2"/>
        </w:numPr>
        <w:spacing w:after="80"/>
      </w:pPr>
      <w:r>
        <w:rPr>
          <w:rFonts w:ascii="Calibri" w:cs="Calibri" w:eastAsia="Calibri" w:hAnsi="Calibri"/>
        </w:rPr>
        <w:t xml:space="preserve">How to find the volume of a solid of revolution using the disk method</w:t>
      </w:r>
    </w:p>
    <w:p>
      <w:pPr>
        <w:pStyle w:val="ListParagraph"/>
        <w:numPr>
          <w:ilvl w:val="0"/>
          <w:numId w:val="2"/>
        </w:numPr>
        <w:spacing w:after="80"/>
      </w:pPr>
      <w:r>
        <w:rPr>
          <w:rFonts w:ascii="Calibri" w:cs="Calibri" w:eastAsia="Calibri" w:hAnsi="Calibri"/>
        </w:rPr>
        <w:t xml:space="preserve">How to find the area between two curves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t8e8csgyq-0oist_0csd" Type="http://schemas.openxmlformats.org/officeDocument/2006/relationships/hyperlink" Target="https://cdn.cytivalifesciences.com/api/public/content/digi-23694-pdf" TargetMode="External"/><Relationship Id="rIdpkckvbtonizbxfistyvf5" Type="http://schemas.openxmlformats.org/officeDocument/2006/relationships/hyperlink" Target="https://reuzeit.com/product/3374976" TargetMode="External"/><Relationship Id="rIdyti0qu8h-tibeggfulxbf" Type="http://schemas.openxmlformats.org/officeDocument/2006/relationships/hyperlink" Target="https://www.sartorius.com/download/1136966/biostat-rm-rocking-motion-datasheet-en-b-sartorius-pdf-data.pdf" TargetMode="External"/><Relationship Id="rIdydkdlrjtdu8byr_nwetqu" Type="http://schemas.openxmlformats.org/officeDocument/2006/relationships/hyperlink" Target="https://www.equipnet.com/sartorius-biostat-rm-20-50-basic-wave-style-b-listid-961288/" TargetMode="External"/><Relationship Id="rIdz3laezajunhbl_rl6g65e" Type="http://schemas.openxmlformats.org/officeDocument/2006/relationships/hyperlink" Target="https://bioprocesstools.com/blog/bioreactor-sizing-guide/" TargetMode="External"/><Relationship Id="rIdlhmq8zx_fh0eoqgbvctr5" Type="http://schemas.openxmlformats.org/officeDocument/2006/relationships/hyperlink" Target="https://www.bioplanassociates.com/22nd/" TargetMode="External"/><Relationship Id="rIdr_ppkss-6rkmrxy21sdsf" Type="http://schemas.openxmlformats.org/officeDocument/2006/relationships/hyperlink" Target="https://link.springer.com/article/10.1007/s00449-021-02657-w" TargetMode="External"/><Relationship Id="rIdwjdp9pwe4vadrgmepj7md" Type="http://schemas.openxmlformats.org/officeDocument/2006/relationships/hyperlink" Target="https://www.labmanager.com/the-total-cost-of-ownership-evaluating-single-use-bioprocessing-systems-35480"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2026-08-27T23:46:08.370Z</dcterms:created>
  <dcterms:modified xsi:type="dcterms:W3CDTF">2026-08-27T23:46:08.371Z</dcterms:modified>
</cp:coreProperties>
</file>

<file path=docProps/custom.xml><?xml version="1.0" encoding="utf-8"?>
<Properties xmlns="http://schemas.openxmlformats.org/officeDocument/2006/custom-properties" xmlns:vt="http://schemas.openxmlformats.org/officeDocument/2006/docPropsVTypes"/>
</file>