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Calibri" w:cs="Calibri" w:eastAsia="Calibri" w:hAnsi="Calibri"/>
          <w:b/>
          <w:bCs/>
          <w:sz w:val="32"/>
          <w:szCs w:val="32"/>
        </w:rPr>
        <w:t xml:space="preserve">Guide Notes: The Bioreactor Bid</w:t>
      </w:r>
    </w:p>
    <w:p>
      <w:pPr>
        <w:spacing w:after="240"/>
        <w:jc w:val="center"/>
      </w:pPr>
      <w:r>
        <w:rPr>
          <w:rFonts w:ascii="Calibri" w:cs="Calibri" w:eastAsia="Calibri" w:hAnsi="Calibri"/>
          <w:b/>
          <w:bCs/>
          <w:color w:val="C00000"/>
          <w:sz w:val="22"/>
          <w:szCs w:val="22"/>
        </w:rPr>
        <w:t xml:space="preserve">FACILITATOR-ONLY — DO NOT DISTRIBUTE TO STUDENTS</w:t>
      </w:r>
    </w:p>
    <w:p>
      <w:pPr>
        <w:spacing w:after="160"/>
      </w:pPr>
      <w:r>
        <w:rPr>
          <w:rFonts w:ascii="Calibri" w:cs="Calibri" w:eastAsia="Calibri" w:hAnsi="Calibri"/>
          <w:b/>
          <w:bCs/>
        </w:rPr>
        <w:t xml:space="preserve">Case: The Bioreactor Bid · Tier: T2 · Band: MS-core · Studio: MS Adventure</w:t>
      </w:r>
    </w:p>
    <w:p>
      <w:pPr>
        <w:spacing w:after="160"/>
      </w:pPr>
      <w:r>
        <w:rPr>
          <w:rFonts w:ascii="Calibri" w:cs="Calibri" w:eastAsia="Calibri" w:hAnsi="Calibri"/>
        </w:rPr>
        <w:t xml:space="preserve">Standards: Volume of Revolution (Disk Method) / Area Between Two Curves — see case.json.standards[] for the exact ids; calculus-volume-of-revolution and calculus-how-to-find-the-volume-of-a-solid-of-revolution-using-the-disk-method are new coverage.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FF3CD" w:color="auto" w:val="clear"/>
            <w:tcMar>
              <w:top w:type="dxa" w:w="120"/>
              <w:left w:type="dxa" w:w="160"/>
              <w:bottom w:type="dxa" w:w="120"/>
              <w:right w:type="dxa" w:w="160"/>
            </w:tcMar>
          </w:tcPr>
          <w:p>
            <w:r>
              <w:rPr>
                <w:rFonts w:ascii="Calibri" w:cs="Calibri" w:eastAsia="Calibri" w:hAnsi="Calibri"/>
                <w:b/>
                <w:bCs/>
              </w:rPr>
              <w:t xml:space="preserve">Publish-time run-of-show summary</w:t>
            </w:r>
          </w:p>
          <w:p>
            <w:pPr>
              <w:spacing w:before="100"/>
            </w:pPr>
            <w:r>
              <w:rPr>
                <w:rFonts w:ascii="Calibri" w:cs="Calibri" w:eastAsia="Calibri" w:hAnsi="Calibri"/>
              </w:rPr>
              <w:t xml:space="preserve">Primary graded metric: liters of viable product yielded per dollar of total vessel cost. Margin: 12.4% (Wave Bid ahead on raw ratio), well inside the SPEC §2 ~20% cap. The real dilemma: the Wave Bid's working volume (17.29 L) falls short of the client's 25 L contractual minimum yield [MA4] — a hard constraint that disqualifies it outright regardless of its better dollar ratio. The Column Bid's 37.5 L working volume clears that floor with room to spare, making it the only vessel that satisfies all three hard limits (yield floor, fill level, budget) at once. This is a cost story, not a mixing/yield-per-liter story — both vessels share the exact same net-cumulative-yield curve.</w:t>
            </w:r>
          </w:p>
          <w:p>
            <w:pPr>
              <w:spacing w:before="100"/>
            </w:pPr>
            <w:r>
              <w:rPr>
                <w:rFonts w:ascii="Calibri" w:cs="Calibri" w:eastAsia="Calibri" w:hAnsi="Calibri"/>
                <w:i/>
                <w:iCs/>
              </w:rPr>
              <w:t xml:space="preserve">SPEC §6 sensitivity note: NONE. This case does not touch illness, death, financial hardship, or family stress — it is a production-engineering capital-purchase decision.</w:t>
            </w:r>
          </w:p>
        </w:tc>
      </w:tr>
    </w:tbl>
    <w:p>
      <w:pPr>
        <w:pStyle w:val="Heading1"/>
        <w:spacing w:after="120" w:before="240"/>
      </w:pPr>
      <w:r>
        <w:rPr>
          <w:rFonts w:ascii="Calibri" w:cs="Calibri" w:eastAsia="Calibri" w:hAnsi="Calibri"/>
          <w:b/>
          <w:bCs/>
        </w:rPr>
        <w:t xml:space="preserve">Intro</w:t>
      </w:r>
    </w:p>
    <w:p>
      <w:pPr>
        <w:spacing w:after="160"/>
      </w:pPr>
      <w:r>
        <w:rPr>
          <w:rFonts w:ascii="Calibri" w:cs="Calibri" w:eastAsia="Calibri" w:hAnsi="Calibri"/>
        </w:rPr>
        <w:t xml:space="preserve">Frame the format before anything else: this is a real capital-purchase recommendation with a client deadline today, not a worksheet. Name the opener — "You are Wei Zhang, a bioprocess engineer with two vendor folders on the bench and a text message from your manager: procurement needs your number by end of day." Let the stakes land before moving to the Launch.</w:t>
      </w:r>
    </w:p>
    <w:p>
      <w:pPr>
        <w:pStyle w:val="Heading1"/>
        <w:spacing w:after="120" w:before="240"/>
      </w:pPr>
      <w:r>
        <w:rPr>
          <w:rFonts w:ascii="Calibri" w:cs="Calibri" w:eastAsia="Calibri" w:hAnsi="Calibri"/>
          <w:b/>
          <w:bCs/>
        </w:rPr>
        <w:t xml:space="preserve">Launch</w:t>
      </w:r>
    </w:p>
    <w:p>
      <w:pPr>
        <w:spacing w:after="160"/>
      </w:pPr>
      <w:r>
        <w:rPr>
          <w:rFonts w:ascii="Calibri" w:cs="Calibri" w:eastAsia="Calibri" w:hAnsi="Calibri"/>
        </w:rPr>
        <w:t xml:space="preserve">Show the two vendor spec sheets side by side — the Column Bid's simple cylinder dimensions, and the Wave Bid's curved bag cross-section with the note "requires a disk-method integral." Ask: "Which one do you think wins on raw output per dollar, before anyone does any math?" Do not confirm or correct answers here. Most rooms will assume the vessel with the qualitative "better mixing" claim (Wave) must also win the numbers by more than it actually does, or that the vessel with the bigger nominal capacity number must be the safer choice — both instincts are worth recording out loud before anyone touches a calculator.</w:t>
      </w:r>
    </w:p>
    <w:p>
      <w:pPr>
        <w:pStyle w:val="Heading1"/>
        <w:spacing w:after="120" w:before="240"/>
      </w:pPr>
      <w:r>
        <w:rPr>
          <w:rFonts w:ascii="Calibri" w:cs="Calibri" w:eastAsia="Calibri" w:hAnsi="Calibri"/>
          <w:b/>
          <w:bCs/>
        </w:rPr>
        <w:t xml:space="preserve">Anchor 1 — Take a stand and vote</w:t>
      </w:r>
    </w:p>
    <w:p>
      <w:pPr>
        <w:spacing w:after="160"/>
      </w:pPr>
      <w:r>
        <w:rPr>
          <w:rFonts w:ascii="Calibri" w:cs="Calibri" w:eastAsia="Calibri" w:hAnsi="Calibri"/>
          <w:b/>
          <w:bCs/>
        </w:rPr>
        <w:t xml:space="preserve">TAKE A STAND AND VOTE. No reasoning yet, just commit.</w:t>
      </w:r>
    </w:p>
    <w:p>
      <w:pPr>
        <w:spacing w:after="160"/>
      </w:pPr>
      <w:r>
        <w:rPr>
          <w:rFonts w:ascii="Calibri" w:cs="Calibri" w:eastAsia="Calibri" w:hAnsi="Calibri"/>
        </w:rPr>
        <w:t xml:space="preserve">"Is anyone courageous enough to stand with Wei on the Wave Bid — the one with the flashier mixing story and the integral?" Show of hands, both options, no discussion. Record the count — Close will ask them to vote again.</w:t>
      </w:r>
    </w:p>
    <w:p>
      <w:pPr>
        <w:pStyle w:val="Heading1"/>
        <w:spacing w:after="120" w:before="240"/>
      </w:pPr>
      <w:r>
        <w:rPr>
          <w:rFonts w:ascii="Calibri" w:cs="Calibri" w:eastAsia="Calibri" w:hAnsi="Calibri"/>
          <w:b/>
          <w:bCs/>
        </w:rPr>
        <w:t xml:space="preserve">Anchor 2 — What is the problem we're solving?</w:t>
      </w:r>
    </w:p>
    <w:p>
      <w:pPr>
        <w:spacing w:after="160"/>
      </w:pPr>
      <w:r>
        <w:rPr>
          <w:rFonts w:ascii="Calibri" w:cs="Calibri" w:eastAsia="Calibri" w:hAnsi="Calibri"/>
          <w:b/>
          <w:bCs/>
        </w:rPr>
        <w:t xml:space="preserve">"Is this the right question?" · "What do you mean by 'wins'?"</w:t>
      </w:r>
    </w:p>
    <w:p>
      <w:pPr>
        <w:spacing w:after="160"/>
      </w:pPr>
      <w:r>
        <w:rPr>
          <w:rFonts w:ascii="Calibri" w:cs="Calibri" w:eastAsia="Calibri" w:hAnsi="Calibri"/>
        </w:rPr>
        <w:t xml:space="preserve">Let confusion grow here — this is deliberate. Heroes will want to jump straight to "which vessel produces more product," but push on what the client actually asked for: yield per dollar, not raw yield, and not raw density. "If one vessel makes less product but costs way less, could it still be the better recommendation? What would have to be true for that?" If the room lands on "per-dollar efficiency and total output are different questions" on its own, the case is working as designed.</w:t>
      </w:r>
    </w:p>
    <w:p>
      <w:pPr>
        <w:pStyle w:val="Heading1"/>
        <w:spacing w:after="120" w:before="240"/>
      </w:pPr>
      <w:r>
        <w:rPr>
          <w:rFonts w:ascii="Calibri" w:cs="Calibri" w:eastAsia="Calibri" w:hAnsi="Calibri"/>
          <w:b/>
          <w:bCs/>
        </w:rPr>
        <w:t xml:space="preserve">Anchor 3 — What is the process?</w:t>
      </w:r>
    </w:p>
    <w:p>
      <w:pPr>
        <w:spacing w:after="160"/>
      </w:pPr>
      <w:r>
        <w:rPr>
          <w:rFonts w:ascii="Calibri" w:cs="Calibri" w:eastAsia="Calibri" w:hAnsi="Calibri"/>
          <w:b/>
          <w:bCs/>
        </w:rPr>
        <w:t xml:space="preserve">"If we go through this process and find the data, how will we decide?"</w:t>
      </w:r>
    </w:p>
    <w:p>
      <w:pPr>
        <w:spacing w:after="160"/>
      </w:pPr>
      <w:r>
        <w:rPr>
          <w:rFonts w:ascii="Calibri" w:cs="Calibri" w:eastAsia="Calibri" w:hAnsi="Calibri"/>
        </w:rPr>
        <w:t xml:space="preserve">Once the room separates "which vessel makes more product" from "which vessel is the better dollar-for-dollar bet," ask them to name the actual steps before touching the appendices: find the net cumulative yield per liter of working volume from Appendix A's feed-rate and uptake-rate curves (D1), find each vessel's actual usable working volume at its target fill level — cylinder formula for the Column Bid, disk-method integral of the bag's cross-sectional profile for the Wave Bid (D2) — multiply the two together for a total-yield figure per vessel (D3), and divide by each vessel's total cost for the yield-per-dollar comparison (D4). Re-ask: "Is our question still the right one, now that we can see the steps?"</w:t>
      </w:r>
    </w:p>
    <w:p>
      <w:pPr>
        <w:pStyle w:val="Heading1"/>
        <w:spacing w:after="120" w:before="240"/>
      </w:pPr>
      <w:r>
        <w:rPr>
          <w:rFonts w:ascii="Calibri" w:cs="Calibri" w:eastAsia="Calibri" w:hAnsi="Calibri"/>
          <w:b/>
          <w:bCs/>
        </w:rPr>
        <w:t xml:space="preserve">Anchor 4 — What don't we know?</w:t>
      </w:r>
    </w:p>
    <w:p>
      <w:pPr>
        <w:spacing w:after="160"/>
      </w:pPr>
      <w:r>
        <w:rPr>
          <w:rFonts w:ascii="Calibri" w:cs="Calibri" w:eastAsia="Calibri" w:hAnsi="Calibri"/>
          <w:b/>
          <w:bCs/>
        </w:rPr>
        <w:t xml:space="preserve">"Do we need to make assumptions? Which ones are critical?"</w:t>
      </w:r>
    </w:p>
    <w:p>
      <w:pPr>
        <w:spacing w:after="160"/>
      </w:pPr>
      <w:r>
        <w:rPr>
          <w:rFonts w:ascii="Calibri" w:cs="Calibri" w:eastAsia="Calibri" w:hAnsi="Calibri"/>
        </w:rPr>
        <w:t xml:space="preserve">Surface the real gaps honestly: Appendix A's feed-rate/uptake-rate table and the g-to-liters conversion factor (MA6) are stated assumptions shaped like real Monod-kinetics data, not a citation to a specific published curve — no public dataset reports this cell line's rates in these units. The Wave Bid's bag radius profile (MA7) is likewise an authored, physically plausible curve, not a vendor measurement — bag geometry at this level of detail is proprietary. The client's 25 L minimum yield (MA4) and the CRO's $50,000 budget cap (MA5) are also scenario choices, not sourced contract terms. Ask which of these actually decides the recommendation if it moves. The honest answer: MA6's absolute scale and MA7's profile are the two load-bearing ones — MA6 sets whether the yield floor binds at all, and MA7 directly sets the Wave Bid's working volume, which is the number that disqualifies it. MA4 and MA5 are the constraints being tested against those two, not decorative. Let a sharp Hero find this themselves before confirming it.</w:t>
      </w:r>
    </w:p>
    <w:p>
      <w:pPr>
        <w:pStyle w:val="Heading1"/>
        <w:spacing w:after="120" w:before="240"/>
      </w:pPr>
      <w:r>
        <w:rPr>
          <w:rFonts w:ascii="Calibri" w:cs="Calibri" w:eastAsia="Calibri" w:hAnsi="Calibri"/>
          <w:b/>
          <w:bCs/>
        </w:rPr>
        <w:t xml:space="preserve">Data Deep Dive</w:t>
      </w:r>
    </w:p>
    <w:p>
      <w:pPr>
        <w:spacing w:after="160"/>
      </w:pPr>
      <w:r>
        <w:rPr>
          <w:rFonts w:ascii="Calibri" w:cs="Calibri" w:eastAsia="Calibri" w:hAnsi="Calibri"/>
        </w:rPr>
        <w:t xml:space="preserve">Now, and only now, the numbers. Walk D1's area-between-curves calculation (net yield ≈ 1.0 L of viable product per liter of working volume — this number is identical for both vessels, since Appendix A's curves are shared), D2's two working-volume figures (Column: 37.5 L by the cylinder formula; Wave: 17.29 L by the disk-method integral), D3's total-yield table (Column: 37.5 L; Wave: 17.29 L), and D4's yield-per-dollar ratio (Column: ~$1,169 spent per liter; Wave: ~$1,041 spent per liter — Wave is more efficient) together as a room. Cold-call specifically on D2 for the Wave Bid — this is where a Hero who never runs the disk-method integral will substitute the bag's nominal 50 L capacity and get a total-yield and yield-per-dollar figure for Option B that is badly wrong, not just imprecise.</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FF3CD" w:color="auto" w:val="clear"/>
            <w:tcMar>
              <w:top w:type="dxa" w:w="120"/>
              <w:left w:type="dxa" w:w="160"/>
              <w:bottom w:type="dxa" w:w="120"/>
              <w:right w:type="dxa" w:w="160"/>
            </w:tcMar>
          </w:tcPr>
          <w:p>
            <w:r>
              <w:rPr>
                <w:rFonts w:ascii="Calibri" w:cs="Calibri" w:eastAsia="Calibri" w:hAnsi="Calibri"/>
                <w:b/>
                <w:bCs/>
              </w:rPr>
              <w:t xml:space="preserve">Facilitator-only arithmetic note.</w:t>
            </w:r>
          </w:p>
          <w:p>
            <w:pPr>
              <w:spacing w:before="100"/>
            </w:pPr>
            <w:r>
              <w:rPr>
                <w:rFonts w:ascii="Calibri" w:cs="Calibri" w:eastAsia="Calibri" w:hAnsi="Calibri"/>
              </w:rPr>
              <w:t xml:space="preserve">D1: sum of (feed − uptake) over days 0–5 (6, 6, 5, 4, 2, 0), each pair of consecutive days averaged and multiplied by the 1-day step (the standard connect-the-dots area-under-a-curve method) = 20 g/L, × the 0.05 L/g conversion factor [MA6] = 1.0 L viable product per liter of working volume, for either vessel. D2 Column: 50 L × 75% fill = 37.5 L (plain arithmetic, no integral). D2 Wave: disk-method integral of Appendix C's r(h) profile from base to the target fill height ≈ 17.29 L (the case's own MA7-sourced figure). D4: Column $43,864 / 37.5 L ≈ $1,169.71/L; Wave $18,000 / 17.29 L ≈ $1,041.06/L. Inverted to the primary metric's own units (L per $): Column ≈ 0.0008551 L/$, Wave ≈ 0.0009606 L/$ — Wave leads by (0.0009606 − 0.0008551) / 0.0008551 ≈ 12.36%, rounded to margin_pct: 12.4 in case.json.</w:t>
            </w:r>
          </w:p>
        </w:tc>
      </w:tr>
    </w:tbl>
    <w:p>
      <w:pPr>
        <w:pStyle w:val="Heading1"/>
        <w:spacing w:after="120" w:before="240"/>
      </w:pPr>
      <w:r>
        <w:rPr>
          <w:rFonts w:ascii="Calibri" w:cs="Calibri" w:eastAsia="Calibri" w:hAnsi="Calibri"/>
          <w:b/>
          <w:bCs/>
        </w:rPr>
        <w:t xml:space="preserve">Twist — drop this at ~15 minutes into the discussion</w:t>
      </w:r>
    </w:p>
    <w:p>
      <w:pPr>
        <w:spacing w:after="160"/>
      </w:pPr>
      <w:r>
        <w:rPr>
          <w:rFonts w:ascii="Calibri" w:cs="Calibri" w:eastAsia="Calibri" w:hAnsi="Calibri"/>
          <w:i/>
          <w:iCs/>
        </w:rPr>
        <w:t xml:space="preserve">Deliver slowly, with pauses:</w:t>
      </w:r>
    </w:p>
    <w:p>
      <w:pPr>
        <w:spacing w:after="160"/>
      </w:pPr>
      <w:r>
        <w:rPr>
          <w:rFonts w:ascii="Calibri" w:cs="Calibri" w:eastAsia="Calibri" w:hAnsi="Calibri"/>
        </w:rPr>
        <w:t xml:space="preserve">"Wei runs the numbers and the ratio favors the Wave Bid. He's drafting the recommendation memo when his director stops by his desk. 'Before you send that — remember the client's downstream purification line. They told us flat out: anything under 25 liters from this run and their schedule slips a week. That's not a preference. That's in the contract.'"</w:t>
      </w:r>
    </w:p>
    <w:p>
      <w:pPr>
        <w:spacing w:after="160"/>
      </w:pPr>
      <w:r>
        <w:rPr>
          <w:rFonts w:ascii="Calibri" w:cs="Calibri" w:eastAsia="Calibri" w:hAnsi="Calibri"/>
        </w:rPr>
        <w:t xml:space="preserve">"Does that change what Wei should actually recommend?"</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9600"/>
      </w:tblGrid>
      <w:tr>
        <w:tc>
          <w:tcPr>
            <w:tcW w:type="dxa" w:w="9600"/>
            <w:shd w:fill="FFF3CD" w:color="auto" w:val="clear"/>
            <w:tcMar>
              <w:top w:type="dxa" w:w="120"/>
              <w:left w:type="dxa" w:w="160"/>
              <w:bottom w:type="dxa" w:w="120"/>
              <w:right w:type="dxa" w:w="160"/>
            </w:tcMar>
          </w:tcPr>
          <w:p>
            <w:r>
              <w:rPr>
                <w:rFonts w:ascii="Calibri" w:cs="Calibri" w:eastAsia="Calibri" w:hAnsi="Calibri"/>
                <w:b/>
                <w:bCs/>
              </w:rPr>
              <w:t xml:space="preserve">Facilitator-only: what this actually does, and does not, change.</w:t>
            </w:r>
          </w:p>
          <w:p>
            <w:pPr>
              <w:spacing w:before="100"/>
            </w:pPr>
            <w:r>
              <w:rPr>
                <w:rFonts w:ascii="Calibri" w:cs="Calibri" w:eastAsia="Calibri" w:hAnsi="Calibri"/>
              </w:rPr>
              <w:t xml:space="preserve">The 25 L minimum [MA4] was always stated in the Background as a hard limit Wei's recommendation "has to clear... at once" alongside fill level and budget — a careful first read should have caught it before Anchor 4 even asked "what don't we know." The twist's real function is to force a recheck, not to reveal new information: many rooms will have computed D4's ratio, seen Wave ahead by ~12%, and moved straight to recommending it without ever comparing D3's 17.29 L figure against the 25 L floor stated on page one. The twist does not erase the Wave Bid's real cost-efficiency advantage, and a Hero arguing Argument B (MA4 is itself unsourced and possibly negotiable) is making a legitimate move — but the case as written treats MA4 as binding, and a Hero who reverses their vote should be pressed on why they missed it the first time, not just on the new vote.</w:t>
            </w:r>
          </w:p>
        </w:tc>
      </w:tr>
    </w:tbl>
    <w:p>
      <w:pPr>
        <w:pStyle w:val="Heading1"/>
        <w:spacing w:after="120" w:before="240"/>
      </w:pPr>
      <w:r>
        <w:rPr>
          <w:rFonts w:ascii="Calibri" w:cs="Calibri" w:eastAsia="Calibri" w:hAnsi="Calibri"/>
          <w:b/>
          <w:bCs/>
        </w:rPr>
        <w:t xml:space="preserve">Immediate recommit</w:t>
      </w:r>
    </w:p>
    <w:p>
      <w:pPr>
        <w:spacing w:after="160"/>
      </w:pPr>
      <w:r>
        <w:rPr>
          <w:rFonts w:ascii="Calibri" w:cs="Calibri" w:eastAsia="Calibri" w:hAnsi="Calibri"/>
        </w:rPr>
        <w:t xml:space="preserve">Re-vote immediately. Ask by name: "Does the 25 L floor change your vote — or does it just tell you that your yield-per-dollar number was never the whole decision?" That distinction is the transferable skill, not the vote itself.</w:t>
      </w:r>
    </w:p>
    <w:p>
      <w:pPr>
        <w:pStyle w:val="Heading1"/>
        <w:spacing w:after="120" w:before="240"/>
      </w:pPr>
      <w:r>
        <w:rPr>
          <w:rFonts w:ascii="Calibri" w:cs="Calibri" w:eastAsia="Calibri" w:hAnsi="Calibri"/>
          <w:b/>
          <w:bCs/>
        </w:rPr>
        <w:t xml:space="preserve">Deep conflict — three threads (20–30 min)</w:t>
      </w:r>
    </w:p>
    <w:p>
      <w:pPr>
        <w:pStyle w:val="ListParagraph"/>
        <w:numPr>
          <w:ilvl w:val="0"/>
          <w:numId w:val="2"/>
        </w:numPr>
        <w:spacing w:after="100"/>
      </w:pPr>
      <w:r>
        <w:rPr>
          <w:rFonts w:ascii="Calibri" w:cs="Calibri" w:eastAsia="Calibri" w:hAnsi="Calibri"/>
        </w:rPr>
        <w:t xml:space="preserve">A better ratio is not always a usable ratio. D4's yield-per-dollar figure genuinely favors the Wave Bid — is that number simply void once a hard constraint disqualifies the option it describes, or does it still tell you something worth naming (e.g., what the Wave Bid would be worth if the client's minimum were smaller, or if a future run could combine two Wave batches)?</w:t>
      </w:r>
    </w:p>
    <w:p>
      <w:pPr>
        <w:pStyle w:val="ListParagraph"/>
        <w:numPr>
          <w:ilvl w:val="0"/>
          <w:numId w:val="2"/>
        </w:numPr>
        <w:spacing w:after="100"/>
      </w:pPr>
      <w:r>
        <w:rPr>
          <w:rFonts w:ascii="Calibri" w:cs="Calibri" w:eastAsia="Calibri" w:hAnsi="Calibri"/>
        </w:rPr>
        <w:t xml:space="preserve">Where mixing's claimed advantage actually lives — and doesn't. The Background credits the Wave Bid's "superior mixing" with a higher achievable cell density, but Appendix A's feed/uptake curves are shared and identical for both vessels (MA6's own sensitivity note says this explicitly). Why does a qualitative claim in the story not automatically become a quantitative advantage in the math — and what would it take to actually wire "better mixing" into the graded numbers?</w:t>
      </w:r>
    </w:p>
    <w:p>
      <w:pPr>
        <w:pStyle w:val="ListParagraph"/>
        <w:numPr>
          <w:ilvl w:val="0"/>
          <w:numId w:val="2"/>
        </w:numPr>
        <w:spacing w:after="100"/>
      </w:pPr>
      <w:r>
        <w:rPr>
          <w:rFonts w:ascii="Calibri" w:cs="Calibri" w:eastAsia="Calibri" w:hAnsi="Calibri"/>
        </w:rPr>
        <w:t xml:space="preserve">Is MA4 a wall or a lever? The 25 L minimum is a stated modeling assumption, not a sourced figure — is it fair to argue it should flex (e.g., across multiple runs, or via renegotiation), or does treating a stated hard constraint as negotiable undermine the whole point of having constraints in a case like this?</w:t>
      </w:r>
    </w:p>
    <w:p>
      <w:pPr>
        <w:pStyle w:val="Heading1"/>
        <w:spacing w:after="120" w:before="240"/>
      </w:pPr>
      <w:r>
        <w:rPr>
          <w:rFonts w:ascii="Calibri" w:cs="Calibri" w:eastAsia="Calibri" w:hAnsi="Calibri"/>
          <w:b/>
          <w:bCs/>
        </w:rPr>
        <w:t xml:space="preserve">45-minute Socratic plan</w:t>
      </w:r>
    </w:p>
    <w:tbl>
      <w:tblPr>
        <w:tblW w:type="dxa" w:w="9600"/>
        <w:tblBorders>
          <w:top w:val="single" w:color="auto" w:sz="4"/>
          <w:left w:val="single" w:color="auto" w:sz="4"/>
          <w:bottom w:val="single" w:color="auto" w:sz="4"/>
          <w:right w:val="single" w:color="auto" w:sz="4"/>
          <w:insideH w:val="single" w:color="auto" w:sz="4"/>
          <w:insideV w:val="single" w:color="auto" w:sz="4"/>
        </w:tblBorders>
      </w:tblPr>
      <w:tblGrid>
        <w:gridCol w:w="2200"/>
        <w:gridCol w:w="7400"/>
      </w:tblGrid>
      <w:tr>
        <w:trPr>
          <w:tblHeader/>
        </w:trPr>
        <w:tc>
          <w:tcPr>
            <w:tcW w:type="dxa" w:w="22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Time</w:t>
            </w:r>
          </w:p>
        </w:tc>
        <w:tc>
          <w:tcPr>
            <w:tcW w:type="dxa" w:w="7400"/>
            <w:shd w:fill="D9E2F3" w:color="auto" w:val="clear"/>
            <w:tcMar>
              <w:top w:type="dxa" w:w="60"/>
              <w:left w:type="dxa" w:w="100"/>
              <w:bottom w:type="dxa" w:w="60"/>
              <w:right w:type="dxa" w:w="100"/>
            </w:tcMar>
            <w:vAlign w:val="center"/>
          </w:tcPr>
          <w:p>
            <w:r>
              <w:rPr>
                <w:rFonts w:ascii="Calibri" w:cs="Calibri" w:eastAsia="Calibri" w:hAnsi="Calibri"/>
                <w:b/>
                <w:bCs/>
                <w:sz w:val="20"/>
                <w:szCs w:val="20"/>
              </w:rPr>
              <w:t xml:space="preserve">Move</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0:00–3:00</w:t>
            </w:r>
          </w:p>
        </w:tc>
        <w:tc>
          <w:tcPr>
            <w:tcW w:type="dxa" w:w="7400"/>
            <w:tcMar>
              <w:top w:type="dxa" w:w="60"/>
              <w:left w:type="dxa" w:w="100"/>
              <w:bottom w:type="dxa" w:w="60"/>
              <w:right w:type="dxa" w:w="100"/>
            </w:tcMar>
            <w:vAlign w:val="center"/>
          </w:tcPr>
          <w:p>
            <w:r>
              <w:rPr>
                <w:rFonts w:ascii="Calibri" w:cs="Calibri" w:eastAsia="Calibri" w:hAnsi="Calibri"/>
                <w:b w:val="false"/>
                <w:bCs w:val="false"/>
                <w:sz w:val="20"/>
                <w:szCs w:val="20"/>
              </w:rPr>
              <w:t xml:space="preserve">Launch — show both spec sheets, cold-call for a gut read, no formulas yet</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3:00–10:00</w:t>
            </w:r>
          </w:p>
        </w:tc>
        <w:tc>
          <w:tcPr>
            <w:tcW w:type="dxa" w:w="7400"/>
            <w:tcMar>
              <w:top w:type="dxa" w:w="60"/>
              <w:left w:type="dxa" w:w="100"/>
              <w:bottom w:type="dxa" w:w="60"/>
              <w:right w:type="dxa" w:w="100"/>
            </w:tcMar>
            <w:vAlign w:val="center"/>
          </w:tcPr>
          <w:p>
            <w:r>
              <w:rPr>
                <w:rFonts w:ascii="Calibri" w:cs="Calibri" w:eastAsia="Calibri" w:hAnsi="Calibri"/>
                <w:b w:val="false"/>
                <w:bCs w:val="false"/>
                <w:sz w:val="20"/>
                <w:szCs w:val="20"/>
              </w:rPr>
              <w:t xml:space="preserve">Position defense — "Convince us your vessel is the one Wei should send up the chain, not just the one with the better pitch"</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10:00–15:00</w:t>
            </w:r>
          </w:p>
        </w:tc>
        <w:tc>
          <w:tcPr>
            <w:tcW w:type="dxa" w:w="7400"/>
            <w:tcMar>
              <w:top w:type="dxa" w:w="60"/>
              <w:left w:type="dxa" w:w="100"/>
              <w:bottom w:type="dxa" w:w="60"/>
              <w:right w:type="dxa" w:w="100"/>
            </w:tcMar>
            <w:vAlign w:val="center"/>
          </w:tcPr>
          <w:p>
            <w:r>
              <w:rPr>
                <w:rFonts w:ascii="Calibri" w:cs="Calibri" w:eastAsia="Calibri" w:hAnsi="Calibri"/>
                <w:b w:val="false"/>
                <w:bCs w:val="false"/>
                <w:sz w:val="20"/>
                <w:szCs w:val="20"/>
              </w:rPr>
              <w:t xml:space="preserve">Pressure-test the models — "Whose recommendation is most fragile if one number moves?"</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15:00</w:t>
            </w:r>
          </w:p>
        </w:tc>
        <w:tc>
          <w:tcPr>
            <w:tcW w:type="dxa" w:w="7400"/>
            <w:tcMar>
              <w:top w:type="dxa" w:w="60"/>
              <w:left w:type="dxa" w:w="100"/>
              <w:bottom w:type="dxa" w:w="60"/>
              <w:right w:type="dxa" w:w="100"/>
            </w:tcMar>
            <w:vAlign w:val="center"/>
          </w:tcPr>
          <w:p>
            <w:r>
              <w:rPr>
                <w:rFonts w:ascii="Calibri" w:cs="Calibri" w:eastAsia="Calibri" w:hAnsi="Calibri"/>
                <w:b w:val="false"/>
                <w:bCs w:val="false"/>
                <w:sz w:val="20"/>
                <w:szCs w:val="20"/>
              </w:rPr>
              <w:t xml:space="preserve">DROP THE TWIST — the director's reminder about the 25 L floor, delivered slowly</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15:00–20:00</w:t>
            </w:r>
          </w:p>
        </w:tc>
        <w:tc>
          <w:tcPr>
            <w:tcW w:type="dxa" w:w="7400"/>
            <w:tcMar>
              <w:top w:type="dxa" w:w="60"/>
              <w:left w:type="dxa" w:w="100"/>
              <w:bottom w:type="dxa" w:w="60"/>
              <w:right w:type="dxa" w:w="100"/>
            </w:tcMar>
            <w:vAlign w:val="center"/>
          </w:tcPr>
          <w:p>
            <w:r>
              <w:rPr>
                <w:rFonts w:ascii="Calibri" w:cs="Calibri" w:eastAsia="Calibri" w:hAnsi="Calibri"/>
                <w:b w:val="false"/>
                <w:bCs w:val="false"/>
                <w:sz w:val="20"/>
                <w:szCs w:val="20"/>
              </w:rPr>
              <w:t xml:space="preserve">Immediate recommit — who reverses, and why</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20:00–30:00</w:t>
            </w:r>
          </w:p>
        </w:tc>
        <w:tc>
          <w:tcPr>
            <w:tcW w:type="dxa" w:w="7400"/>
            <w:tcMar>
              <w:top w:type="dxa" w:w="60"/>
              <w:left w:type="dxa" w:w="100"/>
              <w:bottom w:type="dxa" w:w="60"/>
              <w:right w:type="dxa" w:w="100"/>
            </w:tcMar>
            <w:vAlign w:val="center"/>
          </w:tcPr>
          <w:p>
            <w:r>
              <w:rPr>
                <w:rFonts w:ascii="Calibri" w:cs="Calibri" w:eastAsia="Calibri" w:hAnsi="Calibri"/>
                <w:b w:val="false"/>
                <w:bCs w:val="false"/>
                <w:sz w:val="20"/>
                <w:szCs w:val="20"/>
              </w:rPr>
              <w:t xml:space="preserve">Threaded deep conflict (a better ratio vs. a usable ratio; where mixing's advantage actually lives; is MA4 a wall or a lever)</w:t>
            </w:r>
          </w:p>
        </w:tc>
      </w:tr>
      <w:tr>
        <w:tc>
          <w:tcPr>
            <w:tcW w:type="dxa" w:w="2200"/>
            <w:tcMar>
              <w:top w:type="dxa" w:w="60"/>
              <w:left w:type="dxa" w:w="100"/>
              <w:bottom w:type="dxa" w:w="60"/>
              <w:right w:type="dxa" w:w="100"/>
            </w:tcMar>
            <w:vAlign w:val="center"/>
          </w:tcPr>
          <w:p>
            <w:r>
              <w:rPr>
                <w:rFonts w:ascii="Calibri" w:cs="Calibri" w:eastAsia="Calibri" w:hAnsi="Calibri"/>
                <w:b w:val="false"/>
                <w:bCs w:val="false"/>
                <w:sz w:val="20"/>
                <w:szCs w:val="20"/>
              </w:rPr>
              <w:t xml:space="preserve">30:00–45:00</w:t>
            </w:r>
          </w:p>
        </w:tc>
        <w:tc>
          <w:tcPr>
            <w:tcW w:type="dxa" w:w="7400"/>
            <w:tcMar>
              <w:top w:type="dxa" w:w="60"/>
              <w:left w:type="dxa" w:w="100"/>
              <w:bottom w:type="dxa" w:w="60"/>
              <w:right w:type="dxa" w:w="100"/>
            </w:tcMar>
            <w:vAlign w:val="center"/>
          </w:tcPr>
          <w:p>
            <w:r>
              <w:rPr>
                <w:rFonts w:ascii="Calibri" w:cs="Calibri" w:eastAsia="Calibri" w:hAnsi="Calibri"/>
                <w:b w:val="false"/>
                <w:bCs w:val="false"/>
                <w:sz w:val="20"/>
                <w:szCs w:val="20"/>
              </w:rPr>
              <w:t xml:space="preserve">Close, re-vote, reflection, lessons learned</w:t>
            </w:r>
          </w:p>
        </w:tc>
      </w:tr>
    </w:tbl>
    <w:p>
      <w:pPr>
        <w:pStyle w:val="Heading1"/>
        <w:spacing w:after="120" w:before="240"/>
      </w:pPr>
      <w:r>
        <w:rPr>
          <w:rFonts w:ascii="Calibri" w:cs="Calibri" w:eastAsia="Calibri" w:hAnsi="Calibri"/>
          <w:b/>
          <w:bCs/>
        </w:rPr>
        <w:t xml:space="preserve">The trap</w:t>
      </w:r>
    </w:p>
    <w:p>
      <w:pPr>
        <w:spacing w:after="160"/>
      </w:pPr>
      <w:r>
        <w:rPr>
          <w:rFonts w:ascii="Calibri" w:cs="Calibri" w:eastAsia="Calibri" w:hAnsi="Calibri"/>
        </w:rPr>
        <w:t xml:space="preserve">The plausible reasoning that produces a confident wrong answer: a Hero computes D1–D4 correctly, sees the Wave Bid winning the yield-per-dollar ratio by a real (~12%) margin, and recommends it — without ever checking that ratio against the client's stated 25 L minimum total yield in the Background. A second, related trap: a Hero reads "superior mixing" in the Background and assumes the Wave Bid must therefore have a better net-cumulative-yield curve in Appendix A, when the table is explicitly shared and identical for both vessels — the mixing claim never enters the graded math at all. Both traps look like careful work right up until the numbers meet the constraint list.</w:t>
      </w:r>
    </w:p>
    <w:p>
      <w:pPr>
        <w:pStyle w:val="Heading1"/>
        <w:spacing w:after="120" w:before="240"/>
      </w:pPr>
      <w:r>
        <w:rPr>
          <w:rFonts w:ascii="Calibri" w:cs="Calibri" w:eastAsia="Calibri" w:hAnsi="Calibri"/>
          <w:b/>
          <w:bCs/>
        </w:rPr>
        <w:t xml:space="preserve">Socratic questions</w:t>
      </w:r>
    </w:p>
    <w:p>
      <w:pPr>
        <w:pStyle w:val="ListParagraph"/>
        <w:numPr>
          <w:ilvl w:val="0"/>
          <w:numId w:val="2"/>
        </w:numPr>
        <w:spacing w:after="100"/>
      </w:pPr>
      <w:r>
        <w:rPr>
          <w:rFonts w:ascii="Calibri" w:cs="Calibri" w:eastAsia="Calibri" w:hAnsi="Calibri"/>
        </w:rPr>
        <w:t xml:space="preserve">Your yield-per-dollar table gives the Wave Bid the edge — what would its validation cost have to rise to for that ranking to flip in the Column Bid's favor?</w:t>
      </w:r>
    </w:p>
    <w:p>
      <w:pPr>
        <w:pStyle w:val="ListParagraph"/>
        <w:numPr>
          <w:ilvl w:val="0"/>
          <w:numId w:val="2"/>
        </w:numPr>
        <w:spacing w:after="100"/>
      </w:pPr>
      <w:r>
        <w:rPr>
          <w:rFonts w:ascii="Calibri" w:cs="Calibri" w:eastAsia="Calibri" w:hAnsi="Calibri"/>
        </w:rPr>
        <w:t xml:space="preserve">You integrated the bag's radius profile to get the Wave Bid's working volume instead of using its nominal capacity — how many liters did that integral cost you compared to just using the sticker number, and why does that gap matter to your final recommendation?</w:t>
      </w:r>
    </w:p>
    <w:p>
      <w:pPr>
        <w:pStyle w:val="ListParagraph"/>
        <w:numPr>
          <w:ilvl w:val="0"/>
          <w:numId w:val="2"/>
        </w:numPr>
        <w:spacing w:after="100"/>
      </w:pPr>
      <w:r>
        <w:rPr>
          <w:rFonts w:ascii="Calibri" w:cs="Calibri" w:eastAsia="Calibri" w:hAnsi="Calibri"/>
        </w:rPr>
        <w:t xml:space="preserve">The client's minimum required total yield rules the Wave Bid out entirely — does its yield-per-dollar number even matter anymore, and what does that tell you about the order in which you should check a set of hard constraints?</w:t>
      </w:r>
    </w:p>
    <w:p>
      <w:pPr>
        <w:pStyle w:val="ListParagraph"/>
        <w:numPr>
          <w:ilvl w:val="0"/>
          <w:numId w:val="2"/>
        </w:numPr>
        <w:spacing w:after="100"/>
      </w:pPr>
      <w:r>
        <w:rPr>
          <w:rFonts w:ascii="Calibri" w:cs="Calibri" w:eastAsia="Calibri" w:hAnsi="Calibri"/>
        </w:rPr>
        <w:t xml:space="preserve">Your net-cumulative-yield figure came from the area between two curves that are identical for both vessels — so why does the Background credit the Wave Bid's "superior mixing" with a yield advantage at all? Where, if anywhere, would that claim actually need to show up in the math for it to matter?</w:t>
      </w:r>
    </w:p>
    <w:p>
      <w:pPr>
        <w:pStyle w:val="ListParagraph"/>
        <w:numPr>
          <w:ilvl w:val="0"/>
          <w:numId w:val="2"/>
        </w:numPr>
        <w:spacing w:after="100"/>
      </w:pPr>
      <w:r>
        <w:rPr>
          <w:rFonts w:ascii="Calibri" w:cs="Calibri" w:eastAsia="Calibri" w:hAnsi="Calibri"/>
        </w:rPr>
        <w:t xml:space="preserve">Two teams could compute the same disk-method integral and land on different working volumes for the Wave Bid — what's the most likely place a small measurement or rounding choice in Appendix C would change whether it clears the 25 L floor?</w:t>
      </w:r>
    </w:p>
    <w:p>
      <w:pPr>
        <w:pStyle w:val="Heading1"/>
        <w:spacing w:after="120" w:before="240"/>
      </w:pPr>
      <w:r>
        <w:rPr>
          <w:rFonts w:ascii="Calibri" w:cs="Calibri" w:eastAsia="Calibri" w:hAnsi="Calibri"/>
          <w:b/>
          <w:bCs/>
        </w:rPr>
        <w:t xml:space="preserve">What a strong defense sounds like</w:t>
      </w:r>
    </w:p>
    <w:p>
      <w:pPr>
        <w:spacing w:after="160"/>
      </w:pPr>
      <w:r>
        <w:rPr>
          <w:rFonts w:ascii="Calibri" w:cs="Calibri" w:eastAsia="Calibri" w:hAnsi="Calibri"/>
        </w:rPr>
        <w:t xml:space="preserve">This case has no single right answer, so grade the reasoning, not the vote. A strong Hero: (1) computes D1–D4 correctly and states the yield-per-dollar ratio in the metric's actual units; (2) independently checks that ratio against every hard constraint named in the Background — not just budget, but the 25 L minimum — before committing to a recommendation; (3) can explain, without prompting, why the Background's "superior mixing" claim does not appear anywhere in the D1 calculation, and does not let a qualitative story claim smuggle in an unearned quantitative advantage; (4) treats MA4/MA5/MA6/MA7 as what they are — disclosed modeling assumptions, not facts — and can say plainly which of them, if wrong, would actually change the recommendation. A Hero who reaches either A or B with this reasoning intact has done the case; a Hero who reaches B on the ratio alone, without ever testing it against the 25 L floor, has fallen into the trap even if their arithmetic is flawless.</w:t>
      </w:r>
    </w:p>
    <w:p>
      <w:pPr>
        <w:pStyle w:val="Heading1"/>
        <w:spacing w:after="120" w:before="240"/>
      </w:pPr>
      <w:r>
        <w:rPr>
          <w:rFonts w:ascii="Calibri" w:cs="Calibri" w:eastAsia="Calibri" w:hAnsi="Calibri"/>
          <w:b/>
          <w:bCs/>
        </w:rPr>
        <w:t xml:space="preserve">Skills this case exercises</w:t>
      </w:r>
    </w:p>
    <w:p>
      <w:pPr>
        <w:pStyle w:val="ListParagraph"/>
        <w:numPr>
          <w:ilvl w:val="0"/>
          <w:numId w:val="3"/>
        </w:numPr>
        <w:spacing w:after="100"/>
      </w:pPr>
      <w:r>
        <w:rPr>
          <w:rFonts w:ascii="Calibri" w:cs="Calibri" w:eastAsia="Calibri" w:hAnsi="Calibri"/>
        </w:rPr>
        <w:t xml:space="preserve">Volume of Revolution</w:t>
      </w:r>
    </w:p>
    <w:p>
      <w:pPr>
        <w:pStyle w:val="ListParagraph"/>
        <w:numPr>
          <w:ilvl w:val="0"/>
          <w:numId w:val="3"/>
        </w:numPr>
        <w:spacing w:after="100"/>
      </w:pPr>
      <w:r>
        <w:rPr>
          <w:rFonts w:ascii="Calibri" w:cs="Calibri" w:eastAsia="Calibri" w:hAnsi="Calibri"/>
        </w:rPr>
        <w:t xml:space="preserve">How To Find The Volume Of A Solid Of Revolution Using The Disk Method</w:t>
      </w:r>
    </w:p>
    <w:p>
      <w:pPr>
        <w:pStyle w:val="ListParagraph"/>
        <w:numPr>
          <w:ilvl w:val="0"/>
          <w:numId w:val="3"/>
        </w:numPr>
        <w:spacing w:after="100"/>
      </w:pPr>
      <w:r>
        <w:rPr>
          <w:rFonts w:ascii="Calibri" w:cs="Calibri" w:eastAsia="Calibri" w:hAnsi="Calibri"/>
        </w:rPr>
        <w:t xml:space="preserve">Area Between Two Curves</w:t>
      </w:r>
    </w:p>
    <w:p>
      <w:pPr>
        <w:pStyle w:val="ListParagraph"/>
        <w:numPr>
          <w:ilvl w:val="0"/>
          <w:numId w:val="3"/>
        </w:numPr>
        <w:spacing w:after="100"/>
      </w:pPr>
      <w:r>
        <w:rPr>
          <w:rFonts w:ascii="Calibri" w:cs="Calibri" w:eastAsia="Calibri" w:hAnsi="Calibri"/>
        </w:rPr>
        <w:t xml:space="preserve">How To Find The Area Between Two Curves</w:t>
      </w:r>
    </w:p>
    <w:p>
      <w:pPr>
        <w:pStyle w:val="Heading1"/>
        <w:spacing w:after="120" w:before="240"/>
      </w:pPr>
      <w:r>
        <w:rPr>
          <w:rFonts w:ascii="Calibri" w:cs="Calibri" w:eastAsia="Calibri" w:hAnsi="Calibri"/>
          <w:b/>
          <w:bCs/>
        </w:rPr>
        <w:t xml:space="preserve">Lessons Learned</w:t>
      </w:r>
    </w:p>
    <w:p>
      <w:pPr>
        <w:spacing w:after="160"/>
      </w:pPr>
      <w:r>
        <w:rPr>
          <w:rFonts w:ascii="Calibri" w:cs="Calibri" w:eastAsia="Calibri" w:hAnsi="Calibri"/>
          <w:i/>
          <w:iCs/>
        </w:rPr>
        <w:t xml:space="preserve">(To be filled after the first real run — placeholder structure only.)</w:t>
      </w:r>
    </w:p>
    <w:p>
      <w:pPr>
        <w:pStyle w:val="ListParagraph"/>
        <w:numPr>
          <w:ilvl w:val="0"/>
          <w:numId w:val="3"/>
        </w:numPr>
        <w:spacing w:after="100"/>
      </w:pPr>
      <w:r>
        <w:rPr>
          <w:rFonts w:ascii="Calibri" w:cs="Calibri" w:eastAsia="Calibri" w:hAnsi="Calibri"/>
        </w:rPr>
        <w:t xml:space="preserve">Whether the room checked the 25 L floor against D3 before the twist, or whether it took the director's line to surface it — this is the single most useful signal for whether Anchor 3's "name the steps first" framing is doing its job.</w:t>
      </w:r>
    </w:p>
    <w:p>
      <w:pPr>
        <w:pStyle w:val="ListParagraph"/>
        <w:numPr>
          <w:ilvl w:val="0"/>
          <w:numId w:val="3"/>
        </w:numPr>
        <w:spacing w:after="100"/>
      </w:pPr>
      <w:r>
        <w:rPr>
          <w:rFonts w:ascii="Calibri" w:cs="Calibri" w:eastAsia="Calibri" w:hAnsi="Calibri"/>
        </w:rPr>
        <w:t xml:space="preserve">Whether Anchor 4's finding — that the Background's "superior mixing" claim never actually enters the graded D1 calculation — landed as a discovery or had to be told outright.</w:t>
      </w:r>
    </w:p>
    <w:p>
      <w:pPr>
        <w:pStyle w:val="ListParagraph"/>
        <w:numPr>
          <w:ilvl w:val="0"/>
          <w:numId w:val="3"/>
        </w:numPr>
        <w:spacing w:after="100"/>
      </w:pPr>
      <w:r>
        <w:rPr>
          <w:rFonts w:ascii="Calibri" w:cs="Calibri" w:eastAsia="Calibri" w:hAnsi="Calibri"/>
        </w:rPr>
        <w:t xml:space="preserve">Whether the "is MA4 a wall or a lever" thread produced genuine disagreement or converged immediately; if it converges immediately, the twist may need a sharper edge in a future revision.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2026-08-27T23:44:52.975Z</dcterms:created>
  <dcterms:modified xsi:type="dcterms:W3CDTF">2026-08-27T23:44:52.976Z</dcterms:modified>
</cp:coreProperties>
</file>

<file path=docProps/custom.xml><?xml version="1.0" encoding="utf-8"?>
<Properties xmlns="http://schemas.openxmlformats.org/officeDocument/2006/custom-properties" xmlns:vt="http://schemas.openxmlformats.org/officeDocument/2006/docPropsVTypes"/>
</file>