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3a5c"/>
          <w:sz w:val="36"/>
          <w:szCs w:val="36"/>
        </w:rPr>
        <w:t xml:space="preserve">Facilitator Guide: The Cooling Curve</w:t>
      </w:r>
    </w:p>
    <w:p>
      <w:pPr>
        <w:spacing w:after="60"/>
      </w:pPr>
      <w:r>
        <w:rPr>
          <w:b/>
          <w:bCs/>
          <w:color w:val="a3312a"/>
          <w:sz w:val="20"/>
          <w:szCs w:val="20"/>
        </w:rPr>
        <w:t xml:space="preserve">FACILITATOR-ONLY — do not distribute to students</w:t>
      </w:r>
    </w:p>
    <w:p>
      <w:pPr>
        <w:spacing w:after="300"/>
      </w:pPr>
      <w:r>
        <w:rPr>
          <w:color w:val="5b6472"/>
          <w:sz w:val="18"/>
          <w:szCs w:val="18"/>
        </w:rPr>
        <w:t xml:space="preserve">MS | Math | Case Study | 2026-27 | Adventure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8EE" w:color="auto" w:val="clear"/>
          </w:tcPr>
          <w:p>
            <w:pPr>
              <w:spacing w:after="60"/>
            </w:pPr>
            <w:r>
              <w:rPr>
                <w:b/>
                <w:bCs/>
              </w:rPr>
              <w:t xml:space="preserve">SPEC §6 sensitivity note: </w:t>
            </w:r>
          </w:p>
          <w:p>
            <w:r>
              <w:t xml:space="preserve">None declared by the concept sheet — routine facilities-engineering math, no contested or emotionally weighted subject matter. Instead, this case records a load-bearing modeling-assumption finding: the mold-cost-gap and mold-life assumptions (MA5–MA7) are the figures most likely to flip D5’s recommendation — if the pyramid-mold premium over the cone mold (MA5 − MA6) is smaller than assumed, or the assumed mold life (MA7) is longer than 300,000 fins, the per-fin cost gap narrows and the Pyramid Array’s real surface-area advantage can outweigh it on watts-per-dollar.</w:t>
            </w:r>
          </w:p>
        </w:tc>
      </w:tr>
    </w:tbl>
    <w:p>
      <w:pPr>
        <w:spacing w:after="200"/>
      </w:pPr>
    </w:p>
    <w:p>
      <w:pPr>
        <w:spacing w:after="160"/>
      </w:pPr>
      <w:r>
        <w:t xml:space="preserve">Case: The Cooling Curve · Tier: T2 (MS-core) · Studio: MS Adventure</w:t>
      </w:r>
    </w:p>
    <w:p>
      <w:pPr>
        <w:spacing w:after="160"/>
      </w:pPr>
      <w:r>
        <w:t xml:space="preserve">Standards: Geometry — How to find the volume of a pyramid, How to find the volume of a cone, Surface Area.</w:t>
      </w:r>
    </w:p>
    <w:p>
      <w:pPr>
        <w:pStyle w:val="Heading1"/>
        <w:spacing w:after="160" w:before="300"/>
      </w:pPr>
      <w:r>
        <w:t xml:space="preserve">Balance — the two arguments and the real margin</w:t>
      </w:r>
    </w:p>
    <w:p>
      <w:pPr>
        <w:spacing w:after="200"/>
      </w:pPr>
      <w:r>
        <w:rPr>
          <w:b/>
          <w:bCs/>
        </w:rPr>
        <w:t xml:space="preserve">On the primary metric (watts dissipated per dollar of fin manufacturing cost), the Cone Standoffs beat the Pyramid Array by 18.4% </w:t>
      </w:r>
      <w:r>
        <w:t xml:space="preserve">— inside SPEC §2’s ~20% cap. This case was retuned 2026-08-29: MA5 (pyramid mold cost) was revised from $12,000 to $7,000, grounded in real tooling-cost-complexity benchmarking research showing a 30–50% cost premium per added mold complexity feature is realistic, versus the original untested 2.4x ratio against MA6’s $5,000 cone mold. The retune narrows the margin honestly — it does not flip the winner (the Cone Standoffs still win) and does not erase the real cost story (a 40% pyramid-mold premium over the cone mold still remains). See case.json.balance.margin_note for the full derivation.</w:t>
      </w:r>
    </w:p>
    <w:p>
      <w:pPr>
        <w:pStyle w:val="Heading2"/>
        <w:spacing w:after="120" w:before="240"/>
      </w:pPr>
      <w:r>
        <w:t xml:space="preserve">Argument A — Pyramid Array</w:t>
      </w:r>
    </w:p>
    <w:p>
      <w:pPr>
        <w:spacing w:after="160"/>
      </w:pPr>
      <w:r>
        <w:t xml:space="preserve">The Pyramid Array's four flat faces expose roughly 12.6% more surface area per fin than a cone sharing the same base footprint (0.0064 in² base) and 0.2 in height, and Appendix A ties heat dissipation directly to exposed surface area at 13 W/in² — so per fin, the pyramid moves more heat (0.4242 W vs. 0.3768 W). Scaled across this deployment's 55,296 fins (16 racks × 72 cold plates × 48 fins), that per-fin edge compounds into a real thermal-headroom advantage; a $2,000 pyramid-mold premium over the cone mold (MA5 $7,000 vs. MA6 $5,000) is a one-time cost, but every one of the 55,296 fins' extra surface area pays back on every cooling cycle for the life of the deployment.</w:t>
      </w:r>
    </w:p>
    <w:p>
      <w:pPr>
        <w:pStyle w:val="Heading2"/>
        <w:spacing w:after="120" w:before="240"/>
      </w:pPr>
      <w:r>
        <w:t xml:space="preserve">Argument B — Cone Standoffs</w:t>
      </w:r>
    </w:p>
    <w:p>
      <w:pPr>
        <w:spacing w:after="160"/>
      </w:pPr>
      <w:r>
        <w:t xml:space="preserve">The Cone Standoffs use a shape-of-revolution mold — genuinely cheaper and faster to tool than a four-face pyramid mold, even after the retune still a real $2,000 gap (MA5 $7,000 vs. MA6 $5,000) — and that gap is paid on every single one of the 55,296 fins this deployment needs, not once. Amortized across a 300,000-fin mold life, the cone's lower per-fin cost outweighs its ~12.6% surface-area deficit against the pyramid: the cone's smaller per-fin wattage (0.3768 W vs. 0.4242 W) still buys more watts for every dollar spent once the $0.0233/fin pyramid mold-amortization cost (vs. $0.0167/fin for the cone) is priced in — the cheaper-to-tool geometry wins on the metric that actually matters: watts per dollar, not watts alone.</w:t>
      </w:r>
    </w:p>
    <w:p>
      <w:pPr>
        <w:pStyle w:val="Heading2"/>
        <w:spacing w:after="120" w:before="240"/>
      </w:pPr>
      <w:r>
        <w:t xml:space="preserve">Facilitator-only arithmetic (D1–D4)</w:t>
      </w:r>
    </w:p>
    <w:p>
      <w:pPr>
        <w:spacing w:after="160"/>
      </w:pPr>
      <w:r>
        <w:t xml:space="preserve">Pyramid (base edge 0.08 in, height 0.2 in): volume (1/3 × 0.08² × 0.2) = 0.0004267 in³; slant height √(0.2² + 0.04²) = 0.20396 in; exposed lateral surface area (four triangular faces) 2 × 0.08 × 0.20396 = 0.032634 in². Cone (base diameter 0.09 in, height 0.2 in): volume (1/3 × π × 0.045² × 0.2) = 0.0004241 in³; slant height √(0.045² + 0.2²) = 0.205 in; exposed lateral surface area π × 0.045 × 0.205 = 0.028981 in².</w:t>
      </w:r>
    </w:p>
    <w:p>
      <w:pPr>
        <w:spacing w:after="160"/>
      </w:pPr>
      <w:r>
        <w:t xml:space="preserve">D3: material cost = volume × $2.12/in³ (Pyramid $0.000905, Cone $0.000899); mold amortization = mold cost ÷ 300,000 fins (Pyramid $7,000/300,000 = $0.023333/fin, Cone $5,000/300,000 = $0.016667/fin); fully-loaded cost per fin: Pyramid $0.024238, Cone $0.017566. D4: watts per fin = exposed area × 13 W/in² (Pyramid 0.4242 W, Cone 0.3768 W); watts per dollar = watts/fin ÷ cost/fin — Pyramid 17.50 W/$, Cone 21.45 W/$. The Cone Standoffs win by (21.45 − 17.50) / 21.45 = 18.4%.</w:t>
      </w:r>
    </w:p>
    <w:p>
      <w:pPr>
        <w:spacing w:after="160"/>
      </w:pPr>
      <w:r>
        <w:t xml:space="preserve">Twist basis (re-amortized over the deployment's 55,296 fins instead of MA7's 300,000): Pyramid $7,000/55,296 = $0.1266/fin, Cone $5,000/55,296 = $0.0904/fin. Recommendation does not flip — margin under this basis is 19.35%, essentially unchanged, because the MA5/MA6 mold-cost ratio (1.4x) stays fixed regardless of which fin count the mold cost is divided by.</w:t>
      </w:r>
    </w:p>
    <w:p>
      <w:pPr>
        <w:pStyle w:val="Heading1"/>
        <w:spacing w:after="160" w:before="30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shd w:fill="1a3a5c" w:color="auto" w:val="clear"/>
          </w:tcPr>
          <w:p>
            <w:r>
              <w:rPr>
                <w:b/>
                <w:bCs/>
                <w:color w:val="FFFFFF"/>
                <w:sz w:val="20"/>
                <w:szCs w:val="20"/>
              </w:rPr>
              <w:t xml:space="preserve">Time</w:t>
            </w:r>
          </w:p>
        </w:tc>
        <w:tc>
          <w:tcPr>
            <w:tcW w:type="dxa" w:w="7800"/>
            <w:shd w:fill="1a3a5c" w:color="auto" w:val="clear"/>
          </w:tcPr>
          <w:p>
            <w:r>
              <w:rPr>
                <w:b/>
                <w:bCs/>
                <w:color w:val="FFFFFF"/>
                <w:sz w:val="20"/>
                <w:szCs w:val="20"/>
              </w:rPr>
              <w:t xml:space="preserve">Move</w:t>
            </w:r>
          </w:p>
        </w:tc>
      </w:tr>
      <w:tr>
        <w:tc>
          <w:tcPr>
            <w:tcW w:type="dxa" w:w="1560"/>
          </w:tcPr>
          <w:p>
            <w:r>
              <w:rPr>
                <w:b w:val="false"/>
                <w:bCs w:val="false"/>
                <w:sz w:val="20"/>
                <w:szCs w:val="20"/>
              </w:rPr>
              <w:t xml:space="preserve">0:00–3:00</w:t>
            </w:r>
          </w:p>
        </w:tc>
        <w:tc>
          <w:tcPr>
            <w:tcW w:type="dxa" w:w="7800"/>
          </w:tcPr>
          <w:p>
            <w:r>
              <w:rPr>
                <w:b w:val="false"/>
                <w:bCs w:val="false"/>
                <w:sz w:val="20"/>
                <w:szCs w:val="20"/>
              </w:rPr>
              <w:t xml:space="preserve">Launch — show both fin geometries side by side, cold-call for a gut read, no cost numbers yet</w:t>
            </w:r>
          </w:p>
        </w:tc>
      </w:tr>
      <w:tr>
        <w:tc>
          <w:tcPr>
            <w:tcW w:type="dxa" w:w="1560"/>
          </w:tcPr>
          <w:p>
            <w:r>
              <w:rPr>
                <w:b w:val="false"/>
                <w:bCs w:val="false"/>
                <w:sz w:val="20"/>
                <w:szCs w:val="20"/>
              </w:rPr>
              <w:t xml:space="preserve">3:00–10:00</w:t>
            </w:r>
          </w:p>
        </w:tc>
        <w:tc>
          <w:tcPr>
            <w:tcW w:type="dxa" w:w="7800"/>
          </w:tcPr>
          <w:p>
            <w:r>
              <w:rPr>
                <w:b w:val="false"/>
                <w:bCs w:val="false"/>
                <w:sz w:val="20"/>
                <w:szCs w:val="20"/>
              </w:rPr>
              <w:t xml:space="preserve">"Convince us your fin actually wins on watts per dollar, not just watts per fin"</w:t>
            </w:r>
          </w:p>
        </w:tc>
      </w:tr>
      <w:tr>
        <w:tc>
          <w:tcPr>
            <w:tcW w:type="dxa" w:w="1560"/>
          </w:tcPr>
          <w:p>
            <w:r>
              <w:rPr>
                <w:b w:val="false"/>
                <w:bCs w:val="false"/>
                <w:sz w:val="20"/>
                <w:szCs w:val="20"/>
              </w:rPr>
              <w:t xml:space="preserve">10:00–Min. Fifteen</w:t>
            </w:r>
          </w:p>
        </w:tc>
        <w:tc>
          <w:tcPr>
            <w:tcW w:type="dxa" w:w="7800"/>
          </w:tcPr>
          <w:p>
            <w:r>
              <w:rPr>
                <w:b w:val="false"/>
                <w:bCs w:val="false"/>
                <w:sz w:val="20"/>
                <w:szCs w:val="20"/>
              </w:rPr>
              <w:t xml:space="preserve">"Which of MA5, MA6, or MA7 would have to change, and by how much, for your answer to flip?"</w:t>
            </w:r>
          </w:p>
        </w:tc>
      </w:tr>
      <w:tr>
        <w:tc>
          <w:tcPr>
            <w:tcW w:type="dxa" w:w="1560"/>
          </w:tcPr>
          <w:p>
            <w:r>
              <w:rPr>
                <w:b w:val="false"/>
                <w:bCs w:val="false"/>
                <w:sz w:val="20"/>
                <w:szCs w:val="20"/>
              </w:rPr>
              <w:t xml:space="preserve">Minute Fifteen</w:t>
            </w:r>
          </w:p>
        </w:tc>
        <w:tc>
          <w:tcPr>
            <w:tcW w:type="dxa" w:w="7800"/>
          </w:tcPr>
          <w:p>
            <w:r>
              <w:rPr>
                <w:b w:val="false"/>
                <w:bCs w:val="false"/>
                <w:sz w:val="20"/>
                <w:szCs w:val="20"/>
              </w:rPr>
              <w:t xml:space="preserve">DROP THE TWIST — the 55,296-fin order vs. the 300,000-fin mold-life assumption, delivered slowly</w:t>
            </w:r>
          </w:p>
        </w:tc>
      </w:tr>
      <w:tr>
        <w:tc>
          <w:tcPr>
            <w:tcW w:type="dxa" w:w="1560"/>
          </w:tcPr>
          <w:p>
            <w:r>
              <w:rPr>
                <w:b w:val="false"/>
                <w:bCs w:val="false"/>
                <w:sz w:val="20"/>
                <w:szCs w:val="20"/>
              </w:rPr>
              <w:t xml:space="preserve">Min. Fifteen–20:00</w:t>
            </w:r>
          </w:p>
        </w:tc>
        <w:tc>
          <w:tcPr>
            <w:tcW w:type="dxa" w:w="7800"/>
          </w:tcPr>
          <w:p>
            <w:r>
              <w:rPr>
                <w:b w:val="false"/>
                <w:bCs w:val="false"/>
                <w:sz w:val="20"/>
                <w:szCs w:val="20"/>
              </w:rPr>
              <w:t xml:space="preserve">Immediate recommit — who reverses, and why</w:t>
            </w:r>
          </w:p>
        </w:tc>
      </w:tr>
      <w:tr>
        <w:tc>
          <w:tcPr>
            <w:tcW w:type="dxa" w:w="1560"/>
          </w:tcPr>
          <w:p>
            <w:r>
              <w:rPr>
                <w:b w:val="false"/>
                <w:bCs w:val="false"/>
                <w:sz w:val="20"/>
                <w:szCs w:val="20"/>
              </w:rPr>
              <w:t xml:space="preserve">20:00–30:00</w:t>
            </w:r>
          </w:p>
        </w:tc>
        <w:tc>
          <w:tcPr>
            <w:tcW w:type="dxa" w:w="7800"/>
          </w:tcPr>
          <w:p>
            <w:r>
              <w:rPr>
                <w:b w:val="false"/>
                <w:bCs w:val="false"/>
                <w:sz w:val="20"/>
                <w:szCs w:val="20"/>
              </w:rPr>
              <w:t xml:space="preserve">Threaded deep conflict (surface area vs. watts per dollar; is "one-time" mold cost really one-time; is a wide, assumption-driven margin still worth defending)</w:t>
            </w:r>
          </w:p>
        </w:tc>
      </w:tr>
      <w:tr>
        <w:tc>
          <w:tcPr>
            <w:tcW w:type="dxa" w:w="1560"/>
          </w:tcPr>
          <w:p>
            <w:r>
              <w:rPr>
                <w:b w:val="false"/>
                <w:bCs w:val="false"/>
                <w:sz w:val="20"/>
                <w:szCs w:val="20"/>
              </w:rPr>
              <w:t xml:space="preserve">30:00–45:00</w:t>
            </w:r>
          </w:p>
        </w:tc>
        <w:tc>
          <w:tcPr>
            <w:tcW w:type="dxa" w:w="7800"/>
          </w:tcPr>
          <w:p>
            <w:r>
              <w:rPr>
                <w:b w:val="false"/>
                <w:bCs w:val="false"/>
                <w:sz w:val="20"/>
                <w:szCs w:val="20"/>
              </w:rPr>
              <w:t xml:space="preserve">Close, re-vote, reflection, lessons learned</w:t>
            </w:r>
          </w:p>
        </w:tc>
      </w:tr>
    </w:tbl>
    <w:p>
      <w:pPr>
        <w:pStyle w:val="Heading1"/>
        <w:spacing w:after="160" w:before="300"/>
      </w:pPr>
      <w:r>
        <w:t xml:space="preserve">The Twist — drop this at the fifteen-minute mark</w:t>
      </w:r>
    </w:p>
    <w:p>
      <w:pPr>
        <w:spacing w:after="160"/>
      </w:pPr>
      <w:r>
        <w:t xml:space="preserve">"Someone on the procurement team points out that Appendix E's entire deployment — 16 racks × 72 cold plates × 48 fins — needs exactly 55,296 fins. Appendix C's mold-life figure assumes a mold produces 300,000 fins before it's replaced. This one deployment doesn't even use up a fifth of a single mold's assumed lifetime — and the Overview says the tooling doesn't change until the next hardware refresh, which is rated for a different, hotter rack profile than this fin geometry was sized for."</w:t>
      </w:r>
    </w:p>
    <w:p>
      <w:pPr>
        <w:spacing w:after="160"/>
      </w:pPr>
      <w:r>
        <w:t xml:space="preserve">"If this mold might never get a second production run, is spreading its cost over 300,000 fins still the right way to price it into your recommendation?"</w:t>
      </w:r>
    </w:p>
    <w:p>
      <w:pPr>
        <w:spacing w:after="160"/>
      </w:pPr>
      <w:r>
        <w:t xml:space="preserve">What this actually does, and does not, change: the twist is not a new sourced number — it is a consequence of two numbers Heroes already had that most will not have connected on their own. The recommendation does not flip (see arithmetic above). What the twist does do is surface a real modeling question the D4 table alone doesn't ask: MA7's "amortization" framing implicitly assumes the mold gets reused across many future orders, and Appendix E's own numbers suggest this specific order might not generate anywhere near that reuse. The case has no sourced answer for whether the mold will be reused — inventing one here would be fabrication. The twist reframes, it doesn't resolve.</w:t>
      </w:r>
    </w:p>
    <w:p>
      <w:pPr>
        <w:pStyle w:val="Heading1"/>
        <w:spacing w:after="160" w:before="300"/>
      </w:pPr>
      <w:r>
        <w:t xml:space="preserve">The Trap</w:t>
      </w:r>
    </w:p>
    <w:p>
      <w:pPr>
        <w:spacing w:after="160"/>
      </w:pPr>
      <w:r>
        <w:t xml:space="preserve">The plausible wrong answer is picking the Pyramid Array on the strength of Appendix A alone — "more surface area always means better cooling" — without ever running D3's cost math or D4's per-dollar comparison. More surface area is real, but the case's primary metric is watts per dollar, not watts per fin, and a design can dissipate more heat per fin while still losing badly on cost once mold complexity and deployment scale are priced in. The reverse trap is symmetric: picking the Cone Standoffs purely because the mold is cheaper, without checking whether the surface-area deficit costs the deployment more in under-dissipated heat than the mold savings are worth. In this case that discipline still lands on the Cone Standoffs — but a Hero who reasons straight from Appendix A without doing D3/D4 gets there by luck, not by the math, and won't be able to defend the number when pressed.</w:t>
      </w:r>
    </w:p>
    <w:p>
      <w:pPr>
        <w:pStyle w:val="Heading1"/>
        <w:spacing w:after="160" w:before="300"/>
      </w:pPr>
      <w:r>
        <w:t xml:space="preserve">Socratic Questions</w:t>
      </w:r>
    </w:p>
    <w:p>
      <w:pPr>
        <w:pStyle w:val="ListParagraph"/>
        <w:numPr>
          <w:ilvl w:val="0"/>
          <w:numId w:val="2"/>
        </w:numPr>
        <w:spacing w:after="100"/>
      </w:pPr>
      <w:r>
        <w:t xml:space="preserve">1. Your D4 watts-per-dollar figures — which design wins, and by how much? Now imagine the deployment were ten times smaller — does your D3 cost-per-fin math tell you that answer would change, and why?</w:t>
      </w:r>
    </w:p>
    <w:p>
      <w:pPr>
        <w:pStyle w:val="ListParagraph"/>
        <w:numPr>
          <w:ilvl w:val="0"/>
          <w:numId w:val="2"/>
        </w:numPr>
        <w:spacing w:after="100"/>
      </w:pPr>
      <w:r>
        <w:t xml:space="preserve">2. The Pyramid Array wins on D2 surface area every time, by construction. So why isn't the answer to this case just "always build the pyramid"?</w:t>
      </w:r>
    </w:p>
    <w:p>
      <w:pPr>
        <w:pStyle w:val="ListParagraph"/>
        <w:numPr>
          <w:ilvl w:val="0"/>
          <w:numId w:val="2"/>
        </w:numPr>
        <w:spacing w:after="100"/>
      </w:pPr>
      <w:r>
        <w:t xml:space="preserve">3. Your D3 table treats the mold cost as a cost per fin, spread across the number of fins one mold produces (Appendix C). What happens to your D4 result if that mold only ever produces this one deployment's fins, instead of the full 300,000 Appendix C assumes — and which option's cost changes more?</w:t>
      </w:r>
    </w:p>
    <w:p>
      <w:pPr>
        <w:pStyle w:val="ListParagraph"/>
        <w:numPr>
          <w:ilvl w:val="0"/>
          <w:numId w:val="2"/>
        </w:numPr>
        <w:spacing w:after="100"/>
      </w:pPr>
      <w:r>
        <w:t xml:space="preserve">4. Appendix D gives an industry cost-per-watt benchmark as a cross-check. If your D4 figure for the option you'd recommend comes out much better than that industry benchmark, does that mean your recommendation is right, or does it mean something else is worth double-checking?</w:t>
      </w:r>
    </w:p>
    <w:p>
      <w:pPr>
        <w:pStyle w:val="ListParagraph"/>
        <w:numPr>
          <w:ilvl w:val="0"/>
          <w:numId w:val="2"/>
        </w:numPr>
        <w:spacing w:after="100"/>
      </w:pPr>
      <w:r>
        <w:t xml:space="preserve">5. A pyramid has more surface area than a cone of the same base and height — but "more" is not a number. What would have to be true about the size of that surface-area gap, relative to the mold-cost gap, for your recommendation to flip?</w:t>
      </w:r>
    </w:p>
    <w:p>
      <w:pPr>
        <w:pStyle w:val="Heading1"/>
        <w:spacing w:after="160" w:before="300"/>
      </w:pPr>
      <w:r>
        <w:t xml:space="preserve">What a strong defense sounds like</w:t>
      </w:r>
    </w:p>
    <w:p>
      <w:pPr>
        <w:spacing w:after="160"/>
      </w:pPr>
      <w:r>
        <w:t xml:space="preserve">Not a single 'right' number, since this case has no single right answer — but a strong defense runs the full D1→D4 chain in order rather than jumping from Appendix A's surface-area figure straight to a recommendation, names which Modeling Assumptions (especially MA5–MA7) it is leaning on and why, and responds to the mold-reuse twist by re-examining the amortization assumption rather than either ignoring the twist or treating it as decisive on its own. A Hero who can say "my recommendation holds under the stated assumptions, but here's the one assumption that would have to move, and by how much, to flip it" is defending the reasoning, not just the vote.</w:t>
      </w:r>
    </w:p>
    <w:p>
      <w:pPr>
        <w:pStyle w:val="Heading1"/>
        <w:spacing w:after="160" w:before="300"/>
      </w:pPr>
      <w:r>
        <w:t xml:space="preserve">Skills This Case Exercises</w:t>
      </w:r>
    </w:p>
    <w:p>
      <w:pPr>
        <w:pStyle w:val="ListParagraph"/>
        <w:numPr>
          <w:ilvl w:val="0"/>
          <w:numId w:val="2"/>
        </w:numPr>
        <w:spacing w:after="100"/>
      </w:pPr>
      <w:r>
        <w:t xml:space="preserve">How to find the volume of a pyramid</w:t>
      </w:r>
    </w:p>
    <w:p>
      <w:pPr>
        <w:pStyle w:val="ListParagraph"/>
        <w:numPr>
          <w:ilvl w:val="0"/>
          <w:numId w:val="2"/>
        </w:numPr>
        <w:spacing w:after="100"/>
      </w:pPr>
      <w:r>
        <w:t xml:space="preserve">How to find the volume of a cone</w:t>
      </w:r>
    </w:p>
    <w:p>
      <w:pPr>
        <w:pStyle w:val="ListParagraph"/>
        <w:numPr>
          <w:ilvl w:val="0"/>
          <w:numId w:val="2"/>
        </w:numPr>
        <w:spacing w:after="100"/>
      </w:pPr>
      <w:r>
        <w:t xml:space="preserve">Surface Area</w:t>
      </w:r>
    </w:p>
    <w:p>
      <w:pPr>
        <w:pStyle w:val="Heading1"/>
        <w:spacing w:after="160" w:before="300"/>
      </w:pPr>
      <w:r>
        <w:t xml:space="preserve">Lessons Learned</w:t>
      </w:r>
    </w:p>
    <w:p>
      <w:pPr>
        <w:spacing w:after="160"/>
      </w:pPr>
      <w:r>
        <w:t xml:space="preserve">(To be filled after the first real run — placeholder structure only.)</w:t>
      </w:r>
    </w:p>
    <w:p>
      <w:pPr>
        <w:pStyle w:val="ListParagraph"/>
        <w:numPr>
          <w:ilvl w:val="0"/>
          <w:numId w:val="2"/>
        </w:numPr>
        <w:spacing w:after="100"/>
      </w:pPr>
      <w:r>
        <w:t xml:space="preserve">Whether the "MA5–MA7 are the load-bearing figures, not MA1/MA4" finding landed as a discovery or had to be told outright.</w:t>
      </w:r>
    </w:p>
    <w:p>
      <w:pPr>
        <w:pStyle w:val="ListParagraph"/>
        <w:numPr>
          <w:ilvl w:val="0"/>
          <w:numId w:val="2"/>
        </w:numPr>
        <w:spacing w:after="100"/>
      </w:pPr>
      <w:r>
        <w:t xml:space="preserve">Whether the "more surface area vs. more watts per dollar" trap was the actual sticking point, or whether D3's amortized-cost math itself was the harder gate for most Heroes.</w:t>
      </w:r>
    </w:p>
    <w:p>
      <w:pPr>
        <w:pStyle w:val="ListParagraph"/>
        <w:numPr>
          <w:ilvl w:val="0"/>
          <w:numId w:val="2"/>
        </w:numPr>
        <w:spacing w:after="100"/>
      </w:pPr>
      <w:r>
        <w:t xml:space="preserve">Whether the mold-reuse twist felt like a genuine new constraint or felt like the case dodging a clean numeric answer — worth listening for directly, since this case's own balance note records an 18.4% margin (inside SPEC §2's cap, but genuinely close) that the twist does not paper over.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2026-08-30T22:30:55.044Z</dcterms:created>
  <dcterms:modified xsi:type="dcterms:W3CDTF">2026-08-30T22:30:55.049Z</dcterms:modified>
</cp:coreProperties>
</file>

<file path=docProps/custom.xml><?xml version="1.0" encoding="utf-8"?>
<Properties xmlns="http://schemas.openxmlformats.org/officeDocument/2006/custom-properties" xmlns:vt="http://schemas.openxmlformats.org/officeDocument/2006/docPropsVTypes"/>
</file>