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36"/>
          <w:szCs w:val="36"/>
        </w:rPr>
        <w:t xml:space="preserve">Case Study: The Downbeat Split</w:t>
      </w:r>
    </w:p>
    <w:p>
      <w:pPr>
        <w:spacing w:after="300"/>
      </w:pPr>
      <w:r>
        <w:rPr>
          <w:color w:val="5b6472"/>
          <w:sz w:val="20"/>
          <w:szCs w:val="20"/>
        </w:rPr>
        <w:t xml:space="preserve">MS | Math | Case Study | 2026 | Adventure</w:t>
      </w:r>
    </w:p>
    <w:p>
      <w:pPr>
        <w:pStyle w:val="Heading1"/>
        <w:spacing w:after="120" w:before="200"/>
      </w:pPr>
      <w:r>
        <w:t xml:space="preserve">Overview</w:t>
      </w:r>
    </w:p>
    <w:p>
      <w:pPr>
        <w:spacing w:after="140"/>
      </w:pPr>
      <w:r>
        <w:t xml:space="preserve">The click track loops in Elena Cross's headphones for the ninth time, and every time it loops, the take underneath it is a hair long. Not enough that anyone at the network would flag it just by ear — you'd need a stopwatch, and Elena is the only one in the booth anyone trusts with one. The ensemble is on a break, brass mutes scattered across the risers, and the pencil marks on Elena's score are starting to look less like notation and more like frustration. On the console in front of her sits the client's spot, dropped into the session as a locked video reference, its outgoing black frame burned into the timeline like a deadline that already happened. The producer, headset draped around his neck, leans through the booth door for the third time this hour and says only, "Whenever you're ready" — which everyone in the room understands to mean the take is due before lunch.</w:t>
      </w:r>
    </w:p>
    <w:p>
      <w:pPr>
        <w:spacing w:after="140"/>
      </w:pPr>
      <w:r>
        <w:t xml:space="preserve">Elena has two versions of the cue open side by side on her music stand. One is the version the ensemble already knows cold, clean straight subdivisions they could sight-read blind, and it lands the cue a hair off the mark — close enough that most arrangers would just nudge the tempo and call it a day. The other is scrawled in pencil in the margin of the last measure, a syncopated rewrite that splits one beat cleanly against the grain of the rest of the phrase, hits the mark exactly, and would mean starting the rehearsal clock over from zero with an ensemble that is already watching the wall clock over the concertmaster's shoulder.</w:t>
      </w:r>
    </w:p>
    <w:p>
      <w:pPr>
        <w:spacing w:after="140"/>
      </w:pPr>
      <w:r>
        <w:t xml:space="preserve">She picks up her pencil, taps it once against the stand, and looks up.</w:t>
      </w:r>
    </w:p>
    <w:p>
      <w:pPr>
        <w:pStyle w:val="Heading1"/>
        <w:spacing w:after="120" w:before="200"/>
      </w:pPr>
      <w:r>
        <w:t xml:space="preserve">Background</w:t>
      </w:r>
    </w:p>
    <w:p>
      <w:pPr>
        <w:spacing w:after="140"/>
      </w:pPr>
      <w:r>
        <w:t xml:space="preserve">Elena Cross is a staff arranger at Larkspur Sound, a commercial audio production house, responsible for delivering a finished orchestral cue that fills the client's broadcast ad spot exactly, frame for frame, and accountable to the session's contracted producer for both the take's musical quality and the studio's booked rehearsal-hour budget (SEE APPENDIX A). The client's broadcast slot has one fixed, non-negotiable target duration the finished cue must fill (SEE APPENDIX A) — the network will not air a spot that runs long, and will not pad black frames to cover one that runs short.</w:t>
      </w:r>
    </w:p>
    <w:p>
      <w:pPr>
        <w:spacing w:after="140"/>
      </w:pPr>
      <w:r>
        <w:t xml:space="preserve">Two arrangements of the same sixteen-bar cue are on Elena's stand tonight, and the ensemble has already worked through the first one in this session:</w:t>
      </w:r>
    </w:p>
    <w:p>
      <w:pPr>
        <w:spacing w:after="140"/>
      </w:pPr>
      <w:r>
        <w:rPr>
          <w:b/>
          <w:bCs/>
        </w:rPr>
        <w:t xml:space="preserve">The Straight Cut</w:t>
      </w:r>
      <w:r>
        <w:t xml:space="preserve"> — the arrangement already rehearsed, built entirely from straight, repeating mixed-number note values (SEE APPENDIX B). The ensemble can sight-read it cleanly, but multiplying the phrase's mixed-number beat length by the mixed-number seconds-per-beat at session tempo across the whole cue lands its total running time close to, but not exactly on, the broadcast slot's target — the remaining gap has to be absorbed as a small across-the-board tempo adjustment (SEE APPENDICES A and B).</w:t>
      </w:r>
    </w:p>
    <w:p>
      <w:pPr>
        <w:spacing w:after="140"/>
      </w:pPr>
      <w:r>
        <w:rPr>
          <w:b/>
          <w:bCs/>
        </w:rPr>
        <w:t xml:space="preserve">The Downbeat Split</w:t>
      </w:r>
      <w:r>
        <w:t xml:space="preserve"> — a rewrite of one beat in the final measure, splitting that beat by dividing a fraction of it by the ensemble's normal fractional subdivision unit (SEE APPENDIX D), sized to close the Straight Cut's timing gap exactly rather than approximately. The syncopated subdivision reads correctly on the page and hits the target slot precisely, but it is new material the ensemble has not rehearsed, and every additional read-through of an unfamiliar subdivision like this one is booked, and paid, at the studio's standard union rehearsal rate (SEE APPENDIX C).</w:t>
      </w:r>
    </w:p>
    <w:p>
      <w:pPr>
        <w:spacing w:after="140"/>
      </w:pPr>
      <w:r>
        <w:t xml:space="preserve">Every rehearsal minute the studio books, on either arrangement, is paid at the same union scale (SEE APPENDIX C), so booked rehearsal time is only part of what either option really costs. The network's frame-accuracy delivery requirement is not negotiable, and a take that misses it does not get a warning — it gets rejected on delivery, and the ensemble has to be re-booked for a whole new session to re-cut the spot from scratch. Elena's recommendation has to be judged on one number: expected total studio minutes required to deliver a broadcast-ready take — each option's booked rehearsal minutes, plus the probability-weighted cost, in re-booked session minutes, of exactly that happening (SEE APPENDICES A, C, D and E).</w:t>
      </w:r>
    </w:p>
    <w:p>
      <w:pPr>
        <w:spacing w:after="140"/>
      </w:pPr>
      <w:r>
        <w:t xml:space="preserve">Every sourced and assumed figure in this case is listed in Appendices E and F, and the vocabulary and "how to…" skills this case will ask of you are listed in Appendix G — that is where Challenge 1 sends you.</w:t>
      </w:r>
    </w:p>
    <w:p>
      <w:pPr>
        <w:pStyle w:val="Heading1"/>
        <w:spacing w:after="120" w:before="200"/>
      </w:pPr>
      <w:r>
        <w:t xml:space="preserve">Dilemma</w:t>
      </w:r>
    </w:p>
    <w:p>
      <w:pPr>
        <w:spacing w:after="140"/>
      </w:pPr>
      <w:r>
        <w:t xml:space="preserve">You are Elena Cross.</w:t>
      </w:r>
    </w:p>
    <w:p>
      <w:pPr>
        <w:spacing w:after="140"/>
      </w:pPr>
      <w:r>
        <w:t xml:space="preserve">Do you:</w:t>
      </w:r>
    </w:p>
    <w:p>
      <w:pPr>
        <w:spacing w:after="100"/>
      </w:pPr>
      <w:r>
        <w:rPr>
          <w:b/>
          <w:bCs/>
        </w:rPr>
        <w:t xml:space="preserve">A.) </w:t>
      </w:r>
      <w:r>
        <w:t xml:space="preserve">Recommend The Straight Cut — ship the already-rehearsed straight-subdivision arrangement and absorb the timing gap with a small tempo compromise </w:t>
      </w:r>
      <w:r>
        <w:rPr>
          <w:b/>
          <w:bCs/>
        </w:rPr>
        <w:t xml:space="preserve">OR</w:t>
      </w:r>
    </w:p>
    <w:p>
      <w:pPr>
        <w:spacing w:after="140"/>
      </w:pPr>
      <w:r>
        <w:rPr>
          <w:b/>
          <w:bCs/>
        </w:rPr>
        <w:t xml:space="preserve">B.) </w:t>
      </w:r>
      <w:r>
        <w:t xml:space="preserve">Recommend The Downbeat Split — rewrite the beat with a syncopated subdivision that hits the target duration exactly, at the cost of additional rehearsal time</w:t>
      </w:r>
    </w:p>
    <w:p>
      <w:pPr>
        <w:pStyle w:val="Heading1"/>
        <w:spacing w:after="120" w:before="200"/>
      </w:pPr>
      <w:r>
        <w:t xml:space="preserve">Challenges</w:t>
      </w:r>
    </w:p>
    <w:p>
      <w:pPr>
        <w:spacing w:after="140"/>
      </w:pPr>
      <w:r>
        <w:t xml:space="preserve">1.) Research and find an online resource that answers one of the "how to…" questions from the case study launch. Post a link to the resource as your submission.</w:t>
      </w:r>
    </w:p>
    <w:p>
      <w:pPr>
        <w:spacing w:after="140"/>
      </w:pPr>
      <w:r>
        <w:t xml:space="preserve">2.) Post 250 or more "excellent" words pitching a firm stance to your audience on which you would choose and why. Your pitch must include:</w:t>
      </w:r>
    </w:p>
    <w:p>
      <w:pPr>
        <w:spacing w:after="140"/>
      </w:pPr>
      <w:r>
        <w:t xml:space="preserve">    a.) Use of the "how to…" resource you researched in Challenge 1.</w:t>
      </w:r>
    </w:p>
    <w:p>
      <w:pPr>
        <w:spacing w:after="140"/>
      </w:pPr>
      <w:r>
        <w:t xml:space="preserve">    b.) At least one original visual display of the data.</w:t>
      </w:r>
    </w:p>
    <w:p>
      <w:pPr>
        <w:spacing w:after="140"/>
      </w:pPr>
      <w:r>
        <w:t xml:space="preserve">3.) Your pitch must include:</w:t>
      </w:r>
    </w:p>
    <w:p>
      <w:pPr>
        <w:spacing w:after="140"/>
      </w:pPr>
      <w:r>
        <w:t xml:space="preserve">D1. The Straight Cut's computed total running time (SEE APPENDIX B): the phrase's mixed-number beat length multiplied by the mixed-number seconds-per-beat at session tempo, multiplied out across every phrase repeat in the cue, with the full mixed-number-by-mixed-number arithmetic shown, not just the final total.</w:t>
      </w:r>
    </w:p>
    <w:p>
      <w:pPr>
        <w:spacing w:after="140"/>
      </w:pPr>
      <w:r>
        <w:t xml:space="preserve">D2. A partial-phrase check (SEE APPENDIX B): a fractional portion of the final phrase's mixed-number beat length, multiplied out to show exactly where inside the running time the broadcast slot's target cutoff falls, with the fraction-times-mixed-number arithmetic shown.</w:t>
      </w:r>
    </w:p>
    <w:p>
      <w:pPr>
        <w:spacing w:after="140"/>
      </w:pPr>
      <w:r>
        <w:t xml:space="preserve">D3. The Downbeat Split's beat-subdivision calculation (SEE APPENDIX D): the fractional timing gap divided by the ensemble's fractional subdivision unit, showing the full fraction-divided-by-fraction arithmetic used to determine exactly how the beat must split to close the gap precisely.</w:t>
      </w:r>
    </w:p>
    <w:p>
      <w:pPr>
        <w:spacing w:after="140"/>
      </w:pPr>
      <w:r>
        <w:t xml:space="preserve">D4. A rehearsal read-through fit-check (SEE APPENDIX D): the mixed-number rehearsal time remaining in the booked session divided by the fractional or mixed-number length of one read-through of the syncopated passage, showing the full division arithmetic used to find how many complete read-throughs fit in the time available.</w:t>
      </w:r>
    </w:p>
    <w:p>
      <w:pPr>
        <w:spacing w:after="140"/>
      </w:pPr>
      <w:r>
        <w:t xml:space="preserve">D5. A final decision table (SEE APPENDICES A, C, D and E): for the Straight Cut and for the Downbeat Split, total rehearsal minutes required (computed by multiplying a mixed-number minutes-per-read-through figure by a whole number of read-throughs, with that arithmetic shown), the probability-weighted redelivery-risk minutes (each option's stated rejection probability multiplied by the mixed-number total booked session length, with the fraction-times-mixed-number arithmetic shown), and the expected total minutes required to deliver a broadcast-ready take — with your recommendation stated and defended using that last column.</w:t>
      </w:r>
    </w:p>
    <w:p>
      <w:pPr>
        <w:spacing w:after="14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40"/>
      </w:pPr>
      <w:r>
        <w:t xml:space="preserve">5.) Participate twice or more in the Case Study discussion. If you are absent the day of a discussion post 500 "excellent" words on the questions above.</w:t>
      </w:r>
    </w:p>
    <w:p>
      <w:pPr>
        <w:pStyle w:val="Heading1"/>
        <w:spacing w:after="120" w:before="200"/>
      </w:pPr>
      <w:r>
        <w:t xml:space="preserve">Appendix A — Cue Brief &amp; Broadcast Slot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a3a5c" w:val="clear"/>
          </w:tcPr>
          <w:p>
            <w:r>
              <w:rPr>
                <w:b/>
                <w:bCs/>
                <w:color w:val="FFFFFF"/>
                <w:sz w:val="20"/>
                <w:szCs w:val="20"/>
              </w:rPr>
              <w:t xml:space="preserve"/>
            </w:r>
          </w:p>
        </w:tc>
        <w:tc>
          <w:tcPr>
            <w:tcW w:type="dxa" w:w="5800"/>
            <w:shd w:fill="1a3a5c" w:val="clear"/>
          </w:tcPr>
          <w:p>
            <w:r>
              <w:rPr>
                <w:b/>
                <w:bCs/>
                <w:color w:val="FFFFFF"/>
                <w:sz w:val="20"/>
                <w:szCs w:val="20"/>
              </w:rPr>
              <w:t xml:space="preserve">Value</w:t>
            </w:r>
          </w:p>
        </w:tc>
      </w:tr>
      <w:tr>
        <w:tc>
          <w:tcPr>
            <w:tcW w:type="dxa" w:w="3200"/>
          </w:tcPr>
          <w:p>
            <w:r>
              <w:rPr>
                <w:b w:val="false"/>
                <w:bCs w:val="false"/>
                <w:sz w:val="20"/>
                <w:szCs w:val="20"/>
              </w:rPr>
              <w:t xml:space="preserve">Client broadcast slot target duration (exact, frame-accurate)</w:t>
            </w:r>
          </w:p>
        </w:tc>
        <w:tc>
          <w:tcPr>
            <w:tcW w:type="dxa" w:w="5800"/>
          </w:tcPr>
          <w:p>
            <w:r>
              <w:rPr>
                <w:b w:val="false"/>
                <w:bCs w:val="false"/>
                <w:sz w:val="20"/>
                <w:szCs w:val="20"/>
              </w:rPr>
              <w:t xml:space="preserve">21 7/8 seconds [MA1]</w:t>
            </w:r>
          </w:p>
        </w:tc>
      </w:tr>
      <w:tr>
        <w:tc>
          <w:tcPr>
            <w:tcW w:type="dxa" w:w="3200"/>
          </w:tcPr>
          <w:p>
            <w:r>
              <w:rPr>
                <w:b w:val="false"/>
                <w:bCs w:val="false"/>
                <w:sz w:val="20"/>
                <w:szCs w:val="20"/>
              </w:rPr>
              <w:t xml:space="preserve">Total booked studio session length for this cue</w:t>
            </w:r>
          </w:p>
        </w:tc>
        <w:tc>
          <w:tcPr>
            <w:tcW w:type="dxa" w:w="5800"/>
          </w:tcPr>
          <w:p>
            <w:r>
              <w:rPr>
                <w:b w:val="false"/>
                <w:bCs w:val="false"/>
                <w:sz w:val="20"/>
                <w:szCs w:val="20"/>
              </w:rPr>
              <w:t xml:space="preserve">90 minutes (1 1/2 hours) [MA2]</w:t>
            </w:r>
          </w:p>
        </w:tc>
      </w:tr>
      <w:tr>
        <w:tc>
          <w:tcPr>
            <w:tcW w:type="dxa" w:w="3200"/>
          </w:tcPr>
          <w:p>
            <w:r>
              <w:rPr>
                <w:b w:val="false"/>
                <w:bCs w:val="false"/>
                <w:sz w:val="20"/>
                <w:szCs w:val="20"/>
              </w:rPr>
              <w:t xml:space="preserve">Contracted producer accountability</w:t>
            </w:r>
          </w:p>
        </w:tc>
        <w:tc>
          <w:tcPr>
            <w:tcW w:type="dxa" w:w="5800"/>
          </w:tcPr>
          <w:p>
            <w:r>
              <w:rPr>
                <w:b w:val="false"/>
                <w:bCs w:val="false"/>
                <w:sz w:val="20"/>
                <w:szCs w:val="20"/>
              </w:rPr>
              <w:t xml:space="preserve">Elena is accountable to the session's contracted producer for delivering a take that fits the target slot within the client's frame-accuracy tolerance, and for staying within the studio's booked rehearsal-hour budget.</w:t>
            </w:r>
          </w:p>
        </w:tc>
      </w:tr>
    </w:tbl>
    <w:p>
      <w:pPr>
        <w:spacing w:after="140"/>
      </w:pPr>
      <w:r>
        <w:t xml:space="preserve">Larkspur Sound and this specific cue are invented for this case (SEE APPENDIX E); the broadcast industry's frame-accurate delivery requirement for ad spots is a real, standard practice this case models.</w:t>
      </w:r>
    </w:p>
    <w:p>
      <w:pPr>
        <w:spacing w:after="140"/>
      </w:pPr>
      <w:r>
        <w:t xml:space="preserve">If a delivered take is rejected, the studio has to book a brand-new session of the same total booked length (this table's own row above) to re-cut the spot from scratch, regardless of which arrangement was rejected — the network does not grant a shorter make-good session for either option.</w:t>
      </w:r>
    </w:p>
    <w:p>
      <w:pPr>
        <w:pStyle w:val="Heading1"/>
        <w:spacing w:after="120" w:before="200"/>
      </w:pPr>
      <w:r>
        <w:t xml:space="preserve">Appendix B — The Straight Cut: Phrase &amp; Tempo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a3a5c" w:val="clear"/>
          </w:tcPr>
          <w:p>
            <w:r>
              <w:rPr>
                <w:b/>
                <w:bCs/>
                <w:color w:val="FFFFFF"/>
                <w:sz w:val="20"/>
                <w:szCs w:val="20"/>
              </w:rPr>
              <w:t xml:space="preserve"/>
            </w:r>
          </w:p>
        </w:tc>
        <w:tc>
          <w:tcPr>
            <w:tcW w:type="dxa" w:w="4000"/>
            <w:shd w:fill="1a3a5c" w:val="clear"/>
          </w:tcPr>
          <w:p>
            <w:r>
              <w:rPr>
                <w:b/>
                <w:bCs/>
                <w:color w:val="FFFFFF"/>
                <w:sz w:val="20"/>
                <w:szCs w:val="20"/>
              </w:rPr>
              <w:t xml:space="preserve">Value</w:t>
            </w:r>
          </w:p>
        </w:tc>
      </w:tr>
      <w:tr>
        <w:tc>
          <w:tcPr>
            <w:tcW w:type="dxa" w:w="5000"/>
          </w:tcPr>
          <w:p>
            <w:r>
              <w:rPr>
                <w:b w:val="false"/>
                <w:bCs w:val="false"/>
                <w:sz w:val="20"/>
                <w:szCs w:val="20"/>
              </w:rPr>
              <w:t xml:space="preserve">Full cue length (measures)</w:t>
            </w:r>
          </w:p>
        </w:tc>
        <w:tc>
          <w:tcPr>
            <w:tcW w:type="dxa" w:w="4000"/>
          </w:tcPr>
          <w:p>
            <w:r>
              <w:rPr>
                <w:b w:val="false"/>
                <w:bCs w:val="false"/>
                <w:sz w:val="20"/>
                <w:szCs w:val="20"/>
              </w:rPr>
              <w:t xml:space="preserve">16 measures [MA3]</w:t>
            </w:r>
          </w:p>
        </w:tc>
      </w:tr>
      <w:tr>
        <w:tc>
          <w:tcPr>
            <w:tcW w:type="dxa" w:w="5000"/>
          </w:tcPr>
          <w:p>
            <w:r>
              <w:rPr>
                <w:b w:val="false"/>
                <w:bCs w:val="false"/>
                <w:sz w:val="20"/>
                <w:szCs w:val="20"/>
              </w:rPr>
              <w:t xml:space="preserve">Phrase length per repeat, straight subdivision (beats, mixed number)</w:t>
            </w:r>
          </w:p>
        </w:tc>
        <w:tc>
          <w:tcPr>
            <w:tcW w:type="dxa" w:w="4000"/>
          </w:tcPr>
          <w:p>
            <w:r>
              <w:rPr>
                <w:b w:val="false"/>
                <w:bCs w:val="false"/>
                <w:sz w:val="20"/>
                <w:szCs w:val="20"/>
              </w:rPr>
              <w:t xml:space="preserve">3 3/4 beats [MA4]</w:t>
            </w:r>
          </w:p>
        </w:tc>
      </w:tr>
      <w:tr>
        <w:tc>
          <w:tcPr>
            <w:tcW w:type="dxa" w:w="5000"/>
          </w:tcPr>
          <w:p>
            <w:r>
              <w:rPr>
                <w:b w:val="false"/>
                <w:bCs w:val="false"/>
                <w:sz w:val="20"/>
                <w:szCs w:val="20"/>
              </w:rPr>
              <w:t xml:space="preserve">Session tempo (seconds per beat, mixed number)</w:t>
            </w:r>
          </w:p>
        </w:tc>
        <w:tc>
          <w:tcPr>
            <w:tcW w:type="dxa" w:w="4000"/>
          </w:tcPr>
          <w:p>
            <w:r>
              <w:rPr>
                <w:b w:val="false"/>
                <w:bCs w:val="false"/>
                <w:sz w:val="20"/>
                <w:szCs w:val="20"/>
              </w:rPr>
              <w:t xml:space="preserve">1 1/3 seconds per beat [MA5]</w:t>
            </w:r>
          </w:p>
        </w:tc>
      </w:tr>
      <w:tr>
        <w:tc>
          <w:tcPr>
            <w:tcW w:type="dxa" w:w="5000"/>
          </w:tcPr>
          <w:p>
            <w:r>
              <w:rPr>
                <w:b w:val="false"/>
                <w:bCs w:val="false"/>
                <w:sz w:val="20"/>
                <w:szCs w:val="20"/>
              </w:rPr>
              <w:t xml:space="preserve">Number of full phrase repeats across the cue</w:t>
            </w:r>
          </w:p>
        </w:tc>
        <w:tc>
          <w:tcPr>
            <w:tcW w:type="dxa" w:w="4000"/>
          </w:tcPr>
          <w:p>
            <w:r>
              <w:rPr>
                <w:b w:val="false"/>
                <w:bCs w:val="false"/>
                <w:sz w:val="20"/>
                <w:szCs w:val="20"/>
              </w:rPr>
              <w:t xml:space="preserve">4 repeats [MA6]</w:t>
            </w:r>
          </w:p>
        </w:tc>
      </w:tr>
      <w:tr>
        <w:tc>
          <w:tcPr>
            <w:tcW w:type="dxa" w:w="5000"/>
          </w:tcPr>
          <w:p>
            <w:r>
              <w:rPr>
                <w:b w:val="false"/>
                <w:bCs w:val="false"/>
                <w:sz w:val="20"/>
                <w:szCs w:val="20"/>
              </w:rPr>
              <w:t xml:space="preserve">Fraction of the final phrase used in the partial-phrase check (D2)</w:t>
            </w:r>
          </w:p>
        </w:tc>
        <w:tc>
          <w:tcPr>
            <w:tcW w:type="dxa" w:w="4000"/>
          </w:tcPr>
          <w:p>
            <w:r>
              <w:rPr>
                <w:b w:val="false"/>
                <w:bCs w:val="false"/>
                <w:sz w:val="20"/>
                <w:szCs w:val="20"/>
              </w:rPr>
              <w:t xml:space="preserve">3/8 [MA7]</w:t>
            </w:r>
          </w:p>
        </w:tc>
      </w:tr>
    </w:tbl>
    <w:p>
      <w:pPr>
        <w:spacing w:after="140"/>
      </w:pPr>
      <w:r>
        <w:t xml:space="preserve">Straight Cut's computed total running time is D1's deliverable, not a sourced figure — it is built from the rows above.</w:t>
      </w:r>
    </w:p>
    <w:p>
      <w:pPr>
        <w:pStyle w:val="Heading1"/>
        <w:spacing w:after="120" w:before="200"/>
      </w:pPr>
      <w:r>
        <w:t xml:space="preserve">Appendix C — AFM Session Rehearsal Rate Reference</w:t>
      </w:r>
    </w:p>
    <w:p>
      <w:pPr>
        <w:spacing w:after="140"/>
      </w:pPr>
      <w:r>
        <w:t xml:space="preserve">Real, published American Federation of Musicians (AFM) session-rate scale data, reproduced here so the rehearsal-cost side of the comparison has a real anchor rather than an invented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a3a5c" w:val="clear"/>
          </w:tcPr>
          <w:p>
            <w:r>
              <w:rPr>
                <w:b/>
                <w:bCs/>
                <w:color w:val="FFFFFF"/>
                <w:sz w:val="20"/>
                <w:szCs w:val="20"/>
              </w:rPr>
              <w:t xml:space="preserve"/>
            </w:r>
          </w:p>
        </w:tc>
        <w:tc>
          <w:tcPr>
            <w:tcW w:type="dxa" w:w="4000"/>
            <w:shd w:fill="1a3a5c" w:val="clear"/>
          </w:tcPr>
          <w:p>
            <w:r>
              <w:rPr>
                <w:b/>
                <w:bCs/>
                <w:color w:val="FFFFFF"/>
                <w:sz w:val="20"/>
                <w:szCs w:val="20"/>
              </w:rPr>
              <w:t xml:space="preserve">Value</w:t>
            </w:r>
          </w:p>
        </w:tc>
      </w:tr>
      <w:tr>
        <w:tc>
          <w:tcPr>
            <w:tcW w:type="dxa" w:w="5000"/>
          </w:tcPr>
          <w:p>
            <w:r>
              <w:rPr>
                <w:b w:val="false"/>
                <w:bCs w:val="false"/>
                <w:sz w:val="20"/>
                <w:szCs w:val="20"/>
              </w:rPr>
              <w:t xml:space="preserve">AFM published commercial/jingle session rehearsal rate</w:t>
            </w:r>
          </w:p>
        </w:tc>
        <w:tc>
          <w:tcPr>
            <w:tcW w:type="dxa" w:w="4000"/>
          </w:tcPr>
          <w:p>
            <w:r>
              <w:rPr>
                <w:b w:val="false"/>
                <w:bCs w:val="false"/>
                <w:sz w:val="20"/>
                <w:szCs w:val="20"/>
              </w:rPr>
              <w:t xml:space="preserve">$133.01 per one-hour minimum call (Side Musician scale) [S1]</w:t>
            </w:r>
          </w:p>
        </w:tc>
      </w:tr>
      <w:tr>
        <w:tc>
          <w:tcPr>
            <w:tcW w:type="dxa" w:w="5000"/>
          </w:tcPr>
          <w:p>
            <w:r>
              <w:rPr>
                <w:b w:val="false"/>
                <w:bCs w:val="false"/>
                <w:sz w:val="20"/>
                <w:szCs w:val="20"/>
              </w:rPr>
              <w:t xml:space="preserve">AFM standard minimum session call length</w:t>
            </w:r>
          </w:p>
        </w:tc>
        <w:tc>
          <w:tcPr>
            <w:tcW w:type="dxa" w:w="4000"/>
          </w:tcPr>
          <w:p>
            <w:r>
              <w:rPr>
                <w:b w:val="false"/>
                <w:bCs w:val="false"/>
                <w:sz w:val="20"/>
                <w:szCs w:val="20"/>
              </w:rPr>
              <w:t xml:space="preserve">60 minutes (1 hour) [S2]</w:t>
            </w:r>
          </w:p>
        </w:tc>
      </w:tr>
    </w:tbl>
    <w:p>
      <w:pPr>
        <w:spacing w:after="140"/>
      </w:pPr>
      <w:r>
        <w:t xml:space="preserve">This is real union rate-card data (SEE APPENDIX F) used to anchor the cost side of the decision; it is not Larkspur Sound's own negotiated house rate unless it happens to match.</w:t>
      </w:r>
    </w:p>
    <w:p>
      <w:pPr>
        <w:pStyle w:val="Heading1"/>
        <w:spacing w:after="120" w:before="200"/>
      </w:pPr>
      <w:r>
        <w:t xml:space="preserve">Appendix D — The Downbeat Split: Subdivision &amp; Rehearsal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a3a5c" w:val="clear"/>
          </w:tcPr>
          <w:p>
            <w:r>
              <w:rPr>
                <w:b/>
                <w:bCs/>
                <w:color w:val="FFFFFF"/>
                <w:sz w:val="20"/>
                <w:szCs w:val="20"/>
              </w:rPr>
              <w:t xml:space="preserve"/>
            </w:r>
          </w:p>
        </w:tc>
        <w:tc>
          <w:tcPr>
            <w:tcW w:type="dxa" w:w="4000"/>
            <w:shd w:fill="1a3a5c" w:val="clear"/>
          </w:tcPr>
          <w:p>
            <w:r>
              <w:rPr>
                <w:b/>
                <w:bCs/>
                <w:color w:val="FFFFFF"/>
                <w:sz w:val="20"/>
                <w:szCs w:val="20"/>
              </w:rPr>
              <w:t xml:space="preserve">Value</w:t>
            </w:r>
          </w:p>
        </w:tc>
      </w:tr>
      <w:tr>
        <w:tc>
          <w:tcPr>
            <w:tcW w:type="dxa" w:w="5000"/>
          </w:tcPr>
          <w:p>
            <w:r>
              <w:rPr>
                <w:b w:val="false"/>
                <w:bCs w:val="false"/>
                <w:sz w:val="20"/>
                <w:szCs w:val="20"/>
              </w:rPr>
              <w:t xml:space="preserve">Ensemble's normal subdivision unit (fraction of a beat)</w:t>
            </w:r>
          </w:p>
        </w:tc>
        <w:tc>
          <w:tcPr>
            <w:tcW w:type="dxa" w:w="4000"/>
          </w:tcPr>
          <w:p>
            <w:r>
              <w:rPr>
                <w:b w:val="false"/>
                <w:bCs w:val="false"/>
                <w:sz w:val="20"/>
                <w:szCs w:val="20"/>
              </w:rPr>
              <w:t xml:space="preserve">1/2 beat (eighth-note subdivision) [MA8]</w:t>
            </w:r>
          </w:p>
        </w:tc>
      </w:tr>
      <w:tr>
        <w:tc>
          <w:tcPr>
            <w:tcW w:type="dxa" w:w="5000"/>
          </w:tcPr>
          <w:p>
            <w:r>
              <w:rPr>
                <w:b w:val="false"/>
                <w:bCs w:val="false"/>
                <w:sz w:val="20"/>
                <w:szCs w:val="20"/>
              </w:rPr>
              <w:t xml:space="preserve">Rehearsal time per read-through of the new syncopated passage (mixed-number minutes)</w:t>
            </w:r>
          </w:p>
        </w:tc>
        <w:tc>
          <w:tcPr>
            <w:tcW w:type="dxa" w:w="4000"/>
          </w:tcPr>
          <w:p>
            <w:r>
              <w:rPr>
                <w:b w:val="false"/>
                <w:bCs w:val="false"/>
                <w:sz w:val="20"/>
                <w:szCs w:val="20"/>
              </w:rPr>
              <w:t xml:space="preserve">2 1/2 minutes [MA9]</w:t>
            </w:r>
          </w:p>
        </w:tc>
      </w:tr>
      <w:tr>
        <w:tc>
          <w:tcPr>
            <w:tcW w:type="dxa" w:w="5000"/>
          </w:tcPr>
          <w:p>
            <w:r>
              <w:rPr>
                <w:b w:val="false"/>
                <w:bCs w:val="false"/>
                <w:sz w:val="20"/>
                <w:szCs w:val="20"/>
              </w:rPr>
              <w:t xml:space="preserve">Rehearsal time remaining in the booked session for new material (mixed-number minutes)</w:t>
            </w:r>
          </w:p>
        </w:tc>
        <w:tc>
          <w:tcPr>
            <w:tcW w:type="dxa" w:w="4000"/>
          </w:tcPr>
          <w:p>
            <w:r>
              <w:rPr>
                <w:b w:val="false"/>
                <w:bCs w:val="false"/>
                <w:sz w:val="20"/>
                <w:szCs w:val="20"/>
              </w:rPr>
              <w:t xml:space="preserve">22 1/2 minutes [MA10]</w:t>
            </w:r>
          </w:p>
        </w:tc>
      </w:tr>
    </w:tbl>
    <w:p>
      <w:pPr>
        <w:spacing w:after="140"/>
      </w:pPr>
      <w:r>
        <w:rPr>
          <w:b/>
          <w:bCs/>
        </w:rPr>
        <w:t xml:space="preserve">Decision table shell (completed in D5):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1a3a5c" w:val="clear"/>
          </w:tcPr>
          <w:p>
            <w:r>
              <w:rPr>
                <w:b/>
                <w:bCs/>
                <w:color w:val="FFFFFF"/>
                <w:sz w:val="20"/>
                <w:szCs w:val="20"/>
              </w:rPr>
              <w:t xml:space="preserve"/>
            </w:r>
          </w:p>
        </w:tc>
        <w:tc>
          <w:tcPr>
            <w:tcW w:type="dxa" w:w="2500"/>
            <w:shd w:fill="1a3a5c" w:val="clear"/>
          </w:tcPr>
          <w:p>
            <w:r>
              <w:rPr>
                <w:b/>
                <w:bCs/>
                <w:color w:val="FFFFFF"/>
                <w:sz w:val="20"/>
                <w:szCs w:val="20"/>
              </w:rPr>
              <w:t xml:space="preserve">The Straight Cut</w:t>
            </w:r>
          </w:p>
        </w:tc>
        <w:tc>
          <w:tcPr>
            <w:tcW w:type="dxa" w:w="2500"/>
            <w:shd w:fill="1a3a5c" w:val="clear"/>
          </w:tcPr>
          <w:p>
            <w:r>
              <w:rPr>
                <w:b/>
                <w:bCs/>
                <w:color w:val="FFFFFF"/>
                <w:sz w:val="20"/>
                <w:szCs w:val="20"/>
              </w:rPr>
              <w:t xml:space="preserve">The Downbeat Split</w:t>
            </w:r>
          </w:p>
        </w:tc>
      </w:tr>
      <w:tr>
        <w:tc>
          <w:tcPr>
            <w:tcW w:type="dxa" w:w="4000"/>
          </w:tcPr>
          <w:p>
            <w:r>
              <w:rPr>
                <w:b w:val="false"/>
                <w:bCs w:val="false"/>
                <w:sz w:val="20"/>
                <w:szCs w:val="20"/>
              </w:rPr>
              <w:t xml:space="preserve">Rehearsal minutes required</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r>
        <w:tc>
          <w:tcPr>
            <w:tcW w:type="dxa" w:w="4000"/>
          </w:tcPr>
          <w:p>
            <w:r>
              <w:rPr>
                <w:b w:val="false"/>
                <w:bCs w:val="false"/>
                <w:sz w:val="20"/>
                <w:szCs w:val="20"/>
              </w:rPr>
              <w:t xml:space="preserve">Redelivery-risk probability (SEE APPENDIX E)</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r>
        <w:tc>
          <w:tcPr>
            <w:tcW w:type="dxa" w:w="4000"/>
          </w:tcPr>
          <w:p>
            <w:r>
              <w:rPr>
                <w:b w:val="false"/>
                <w:bCs w:val="false"/>
                <w:sz w:val="20"/>
                <w:szCs w:val="20"/>
              </w:rPr>
              <w:t xml:space="preserve">Probability-weighted redelivery-risk minutes</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r>
        <w:tc>
          <w:tcPr>
            <w:tcW w:type="dxa" w:w="4000"/>
          </w:tcPr>
          <w:p>
            <w:r>
              <w:rPr>
                <w:b w:val="false"/>
                <w:bCs w:val="false"/>
                <w:sz w:val="20"/>
                <w:szCs w:val="20"/>
              </w:rPr>
              <w:t xml:space="preserve">Expected total minutes required</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bl>
    <w:p>
      <w:pPr>
        <w:pStyle w:val="Heading1"/>
        <w:spacing w:after="120" w:before="200"/>
      </w:pPr>
      <w:r>
        <w:t xml:space="preserve">Appendix E — Modeling Assumptions</w:t>
      </w:r>
    </w:p>
    <w:p>
      <w:pPr>
        <w:pBdr>
          <w:left w:val="single" w:color="c9a227" w:sz="12"/>
        </w:pBdr>
        <w:spacing w:after="200"/>
        <w:ind w:left="200"/>
      </w:pPr>
      <w:r>
        <w:rPr>
          <w:i/>
          <w:iCs/>
          <w:color w:val="4a3f1e"/>
        </w:rPr>
        <w:t xml:space="preserve">These figures are not sourced. Larkspur Sound, this cue, and its client's broadcast slot are invented for this case (SEE APPENDIX A) — there is no real session to look up. Each value below is a stated scenario assumption chosen by the case author so the two arrangements are directly comparable and the D1–D5 arithmetic resolves in exact fractions and mixed numbers with no rounding. A Hero may challenge any of these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2800"/>
      </w:tblGrid>
      <w:tr>
        <w:tc>
          <w:tcPr>
            <w:tcW w:type="dxa" w:w="800"/>
            <w:shd w:fill="1a3a5c" w:val="clear"/>
          </w:tcPr>
          <w:p>
            <w:r>
              <w:rPr>
                <w:b/>
                <w:bCs/>
                <w:color w:val="FFFFFF"/>
                <w:sz w:val="20"/>
                <w:szCs w:val="20"/>
              </w:rPr>
              <w:t xml:space="preserve">#</w:t>
            </w:r>
          </w:p>
        </w:tc>
        <w:tc>
          <w:tcPr>
            <w:tcW w:type="dxa" w:w="3200"/>
            <w:shd w:fill="1a3a5c" w:val="clear"/>
          </w:tcPr>
          <w:p>
            <w:r>
              <w:rPr>
                <w:b/>
                <w:bCs/>
                <w:color w:val="FFFFFF"/>
                <w:sz w:val="20"/>
                <w:szCs w:val="20"/>
              </w:rPr>
              <w:t xml:space="preserve">Assumption</w:t>
            </w:r>
          </w:p>
        </w:tc>
        <w:tc>
          <w:tcPr>
            <w:tcW w:type="dxa" w:w="2200"/>
            <w:shd w:fill="1a3a5c" w:val="clear"/>
          </w:tcPr>
          <w:p>
            <w:r>
              <w:rPr>
                <w:b/>
                <w:bCs/>
                <w:color w:val="FFFFFF"/>
                <w:sz w:val="20"/>
                <w:szCs w:val="20"/>
              </w:rPr>
              <w:t xml:space="preserve">Value used</w:t>
            </w:r>
          </w:p>
        </w:tc>
        <w:tc>
          <w:tcPr>
            <w:tcW w:type="dxa" w:w="2800"/>
            <w:shd w:fill="1a3a5c" w:val="clear"/>
          </w:tcPr>
          <w:p>
            <w:r>
              <w:rPr>
                <w:b/>
                <w:bCs/>
                <w:color w:val="FFFFFF"/>
                <w:sz w:val="20"/>
                <w:szCs w:val="20"/>
              </w:rPr>
              <w:t xml:space="preserve">Basis</w:t>
            </w:r>
          </w:p>
        </w:tc>
      </w:tr>
      <w:tr>
        <w:tc>
          <w:tcPr>
            <w:tcW w:type="dxa" w:w="800"/>
          </w:tcPr>
          <w:p>
            <w:r>
              <w:rPr>
                <w:b w:val="false"/>
                <w:bCs w:val="false"/>
                <w:sz w:val="20"/>
                <w:szCs w:val="20"/>
              </w:rPr>
              <w:t xml:space="preserve">MA1</w:t>
            </w:r>
          </w:p>
        </w:tc>
        <w:tc>
          <w:tcPr>
            <w:tcW w:type="dxa" w:w="3200"/>
          </w:tcPr>
          <w:p>
            <w:r>
              <w:rPr>
                <w:b w:val="false"/>
                <w:bCs w:val="false"/>
                <w:sz w:val="20"/>
                <w:szCs w:val="20"/>
              </w:rPr>
              <w:t xml:space="preserve">Client broadcast slot target duration</w:t>
            </w:r>
          </w:p>
        </w:tc>
        <w:tc>
          <w:tcPr>
            <w:tcW w:type="dxa" w:w="2200"/>
          </w:tcPr>
          <w:p>
            <w:r>
              <w:rPr>
                <w:b w:val="false"/>
                <w:bCs w:val="false"/>
                <w:sz w:val="20"/>
                <w:szCs w:val="20"/>
              </w:rPr>
              <w:t xml:space="preserve">21 7/8 seconds</w:t>
            </w:r>
          </w:p>
        </w:tc>
        <w:tc>
          <w:tcPr>
            <w:tcW w:type="dxa" w:w="2800"/>
          </w:tcPr>
          <w:p>
            <w:r>
              <w:rPr>
                <w:b w:val="false"/>
                <w:bCs w:val="false"/>
                <w:sz w:val="20"/>
                <w:szCs w:val="20"/>
              </w:rPr>
              <w:t xml:space="preserve">Real broadcast ad spots run in standard lengths; this case's fictional client brief sets a specific frame-accurate figure inside that range.</w:t>
            </w:r>
          </w:p>
        </w:tc>
      </w:tr>
      <w:tr>
        <w:tc>
          <w:tcPr>
            <w:tcW w:type="dxa" w:w="800"/>
          </w:tcPr>
          <w:p>
            <w:r>
              <w:rPr>
                <w:b w:val="false"/>
                <w:bCs w:val="false"/>
                <w:sz w:val="20"/>
                <w:szCs w:val="20"/>
              </w:rPr>
              <w:t xml:space="preserve">MA2</w:t>
            </w:r>
          </w:p>
        </w:tc>
        <w:tc>
          <w:tcPr>
            <w:tcW w:type="dxa" w:w="3200"/>
          </w:tcPr>
          <w:p>
            <w:r>
              <w:rPr>
                <w:b w:val="false"/>
                <w:bCs w:val="false"/>
                <w:sz w:val="20"/>
                <w:szCs w:val="20"/>
              </w:rPr>
              <w:t xml:space="preserve">Total booked studio session length for this cue</w:t>
            </w:r>
          </w:p>
        </w:tc>
        <w:tc>
          <w:tcPr>
            <w:tcW w:type="dxa" w:w="2200"/>
          </w:tcPr>
          <w:p>
            <w:r>
              <w:rPr>
                <w:b w:val="false"/>
                <w:bCs w:val="false"/>
                <w:sz w:val="20"/>
                <w:szCs w:val="20"/>
              </w:rPr>
              <w:t xml:space="preserve">90 minutes (1 1/2 hours)</w:t>
            </w:r>
          </w:p>
        </w:tc>
        <w:tc>
          <w:tcPr>
            <w:tcW w:type="dxa" w:w="2800"/>
          </w:tcPr>
          <w:p>
            <w:r>
              <w:rPr>
                <w:b w:val="false"/>
                <w:bCs w:val="false"/>
                <w:sz w:val="20"/>
                <w:szCs w:val="20"/>
              </w:rPr>
              <w:t xml:space="preserve">One AFM minimum hour (Appendix C, S2) plus a half-hour of likely overtime.</w:t>
            </w:r>
          </w:p>
        </w:tc>
      </w:tr>
      <w:tr>
        <w:tc>
          <w:tcPr>
            <w:tcW w:type="dxa" w:w="800"/>
          </w:tcPr>
          <w:p>
            <w:r>
              <w:rPr>
                <w:b w:val="false"/>
                <w:bCs w:val="false"/>
                <w:sz w:val="20"/>
                <w:szCs w:val="20"/>
              </w:rPr>
              <w:t xml:space="preserve">MA3</w:t>
            </w:r>
          </w:p>
        </w:tc>
        <w:tc>
          <w:tcPr>
            <w:tcW w:type="dxa" w:w="3200"/>
          </w:tcPr>
          <w:p>
            <w:r>
              <w:rPr>
                <w:b w:val="false"/>
                <w:bCs w:val="false"/>
                <w:sz w:val="20"/>
                <w:szCs w:val="20"/>
              </w:rPr>
              <w:t xml:space="preserve">Full cue length</w:t>
            </w:r>
          </w:p>
        </w:tc>
        <w:tc>
          <w:tcPr>
            <w:tcW w:type="dxa" w:w="2200"/>
          </w:tcPr>
          <w:p>
            <w:r>
              <w:rPr>
                <w:b w:val="false"/>
                <w:bCs w:val="false"/>
                <w:sz w:val="20"/>
                <w:szCs w:val="20"/>
              </w:rPr>
              <w:t xml:space="preserve">16 measures</w:t>
            </w:r>
          </w:p>
        </w:tc>
        <w:tc>
          <w:tcPr>
            <w:tcW w:type="dxa" w:w="2800"/>
          </w:tcPr>
          <w:p>
            <w:r>
              <w:rPr>
                <w:b w:val="false"/>
                <w:bCs w:val="false"/>
                <w:sz w:val="20"/>
                <w:szCs w:val="20"/>
              </w:rPr>
              <w:t xml:space="preserve">Fixed directly by the case's own narrative ("the same sixteen-bar cue," Background).</w:t>
            </w:r>
          </w:p>
        </w:tc>
      </w:tr>
      <w:tr>
        <w:tc>
          <w:tcPr>
            <w:tcW w:type="dxa" w:w="800"/>
          </w:tcPr>
          <w:p>
            <w:r>
              <w:rPr>
                <w:b w:val="false"/>
                <w:bCs w:val="false"/>
                <w:sz w:val="20"/>
                <w:szCs w:val="20"/>
              </w:rPr>
              <w:t xml:space="preserve">MA4</w:t>
            </w:r>
          </w:p>
        </w:tc>
        <w:tc>
          <w:tcPr>
            <w:tcW w:type="dxa" w:w="3200"/>
          </w:tcPr>
          <w:p>
            <w:r>
              <w:rPr>
                <w:b w:val="false"/>
                <w:bCs w:val="false"/>
                <w:sz w:val="20"/>
                <w:szCs w:val="20"/>
              </w:rPr>
              <w:t xml:space="preserve">Phrase length per repeat, straight subdivision</w:t>
            </w:r>
          </w:p>
        </w:tc>
        <w:tc>
          <w:tcPr>
            <w:tcW w:type="dxa" w:w="2200"/>
          </w:tcPr>
          <w:p>
            <w:r>
              <w:rPr>
                <w:b w:val="false"/>
                <w:bCs w:val="false"/>
                <w:sz w:val="20"/>
                <w:szCs w:val="20"/>
              </w:rPr>
              <w:t xml:space="preserve">3 3/4 beats</w:t>
            </w:r>
          </w:p>
        </w:tc>
        <w:tc>
          <w:tcPr>
            <w:tcW w:type="dxa" w:w="2800"/>
          </w:tcPr>
          <w:p>
            <w:r>
              <w:rPr>
                <w:b w:val="false"/>
                <w:bCs w:val="false"/>
                <w:sz w:val="20"/>
                <w:szCs w:val="20"/>
              </w:rPr>
              <w:t xml:space="preserve">Author's choice of arrangement structure, sized to multiply cleanly with MA5.</w:t>
            </w:r>
          </w:p>
        </w:tc>
      </w:tr>
      <w:tr>
        <w:tc>
          <w:tcPr>
            <w:tcW w:type="dxa" w:w="800"/>
          </w:tcPr>
          <w:p>
            <w:r>
              <w:rPr>
                <w:b w:val="false"/>
                <w:bCs w:val="false"/>
                <w:sz w:val="20"/>
                <w:szCs w:val="20"/>
              </w:rPr>
              <w:t xml:space="preserve">MA5</w:t>
            </w:r>
          </w:p>
        </w:tc>
        <w:tc>
          <w:tcPr>
            <w:tcW w:type="dxa" w:w="3200"/>
          </w:tcPr>
          <w:p>
            <w:r>
              <w:rPr>
                <w:b w:val="false"/>
                <w:bCs w:val="false"/>
                <w:sz w:val="20"/>
                <w:szCs w:val="20"/>
              </w:rPr>
              <w:t xml:space="preserve">Session tempo (seconds per beat)</w:t>
            </w:r>
          </w:p>
        </w:tc>
        <w:tc>
          <w:tcPr>
            <w:tcW w:type="dxa" w:w="2200"/>
          </w:tcPr>
          <w:p>
            <w:r>
              <w:rPr>
                <w:b w:val="false"/>
                <w:bCs w:val="false"/>
                <w:sz w:val="20"/>
                <w:szCs w:val="20"/>
              </w:rPr>
              <w:t xml:space="preserve">1 1/3 seconds per beat (45 BPM)</w:t>
            </w:r>
          </w:p>
        </w:tc>
        <w:tc>
          <w:tcPr>
            <w:tcW w:type="dxa" w:w="2800"/>
          </w:tcPr>
          <w:p>
            <w:r>
              <w:rPr>
                <w:b w:val="false"/>
                <w:bCs w:val="false"/>
                <w:sz w:val="20"/>
                <w:szCs w:val="20"/>
              </w:rPr>
              <w:t xml:space="preserve">A slow-to-moderate underscore tempo, chosen with MA4 to multiply to a clean 5 sec/repeat.</w:t>
            </w:r>
          </w:p>
        </w:tc>
      </w:tr>
      <w:tr>
        <w:tc>
          <w:tcPr>
            <w:tcW w:type="dxa" w:w="800"/>
          </w:tcPr>
          <w:p>
            <w:r>
              <w:rPr>
                <w:b w:val="false"/>
                <w:bCs w:val="false"/>
                <w:sz w:val="20"/>
                <w:szCs w:val="20"/>
              </w:rPr>
              <w:t xml:space="preserve">MA6</w:t>
            </w:r>
          </w:p>
        </w:tc>
        <w:tc>
          <w:tcPr>
            <w:tcW w:type="dxa" w:w="3200"/>
          </w:tcPr>
          <w:p>
            <w:r>
              <w:rPr>
                <w:b w:val="false"/>
                <w:bCs w:val="false"/>
                <w:sz w:val="20"/>
                <w:szCs w:val="20"/>
              </w:rPr>
              <w:t xml:space="preserve">Number of full phrase repeats across the cue</w:t>
            </w:r>
          </w:p>
        </w:tc>
        <w:tc>
          <w:tcPr>
            <w:tcW w:type="dxa" w:w="2200"/>
          </w:tcPr>
          <w:p>
            <w:r>
              <w:rPr>
                <w:b w:val="false"/>
                <w:bCs w:val="false"/>
                <w:sz w:val="20"/>
                <w:szCs w:val="20"/>
              </w:rPr>
              <w:t xml:space="preserve">4 repeats</w:t>
            </w:r>
          </w:p>
        </w:tc>
        <w:tc>
          <w:tcPr>
            <w:tcW w:type="dxa" w:w="2800"/>
          </w:tcPr>
          <w:p>
            <w:r>
              <w:rPr>
                <w:b w:val="false"/>
                <w:bCs w:val="false"/>
                <w:sz w:val="20"/>
                <w:szCs w:val="20"/>
              </w:rPr>
              <w:t xml:space="preserve">Author's choice of arrangement structure.</w:t>
            </w:r>
          </w:p>
        </w:tc>
      </w:tr>
      <w:tr>
        <w:tc>
          <w:tcPr>
            <w:tcW w:type="dxa" w:w="800"/>
          </w:tcPr>
          <w:p>
            <w:r>
              <w:rPr>
                <w:b w:val="false"/>
                <w:bCs w:val="false"/>
                <w:sz w:val="20"/>
                <w:szCs w:val="20"/>
              </w:rPr>
              <w:t xml:space="preserve">MA7</w:t>
            </w:r>
          </w:p>
        </w:tc>
        <w:tc>
          <w:tcPr>
            <w:tcW w:type="dxa" w:w="3200"/>
          </w:tcPr>
          <w:p>
            <w:r>
              <w:rPr>
                <w:b w:val="false"/>
                <w:bCs w:val="false"/>
                <w:sz w:val="20"/>
                <w:szCs w:val="20"/>
              </w:rPr>
              <w:t xml:space="preserve">Fraction of the final phrase used in the partial-phrase check (D2)</w:t>
            </w:r>
          </w:p>
        </w:tc>
        <w:tc>
          <w:tcPr>
            <w:tcW w:type="dxa" w:w="2200"/>
          </w:tcPr>
          <w:p>
            <w:r>
              <w:rPr>
                <w:b w:val="false"/>
                <w:bCs w:val="false"/>
                <w:sz w:val="20"/>
                <w:szCs w:val="20"/>
              </w:rPr>
              <w:t xml:space="preserve">3/8</w:t>
            </w:r>
          </w:p>
        </w:tc>
        <w:tc>
          <w:tcPr>
            <w:tcW w:type="dxa" w:w="2800"/>
          </w:tcPr>
          <w:p>
            <w:r>
              <w:rPr>
                <w:b w:val="false"/>
                <w:bCs w:val="false"/>
                <w:sz w:val="20"/>
                <w:szCs w:val="20"/>
              </w:rPr>
              <w:t xml:space="preserve">Chosen so D1 and D2 chain together with no fudge factor.</w:t>
            </w:r>
          </w:p>
        </w:tc>
      </w:tr>
      <w:tr>
        <w:tc>
          <w:tcPr>
            <w:tcW w:type="dxa" w:w="800"/>
          </w:tcPr>
          <w:p>
            <w:r>
              <w:rPr>
                <w:b w:val="false"/>
                <w:bCs w:val="false"/>
                <w:sz w:val="20"/>
                <w:szCs w:val="20"/>
              </w:rPr>
              <w:t xml:space="preserve">MA8</w:t>
            </w:r>
          </w:p>
        </w:tc>
        <w:tc>
          <w:tcPr>
            <w:tcW w:type="dxa" w:w="3200"/>
          </w:tcPr>
          <w:p>
            <w:r>
              <w:rPr>
                <w:b w:val="false"/>
                <w:bCs w:val="false"/>
                <w:sz w:val="20"/>
                <w:szCs w:val="20"/>
              </w:rPr>
              <w:t xml:space="preserve">Ensemble's normal subdivision unit</w:t>
            </w:r>
          </w:p>
        </w:tc>
        <w:tc>
          <w:tcPr>
            <w:tcW w:type="dxa" w:w="2200"/>
          </w:tcPr>
          <w:p>
            <w:r>
              <w:rPr>
                <w:b w:val="false"/>
                <w:bCs w:val="false"/>
                <w:sz w:val="20"/>
                <w:szCs w:val="20"/>
              </w:rPr>
              <w:t xml:space="preserve">1/2 beat (eighth-note subdivision)</w:t>
            </w:r>
          </w:p>
        </w:tc>
        <w:tc>
          <w:tcPr>
            <w:tcW w:type="dxa" w:w="2800"/>
          </w:tcPr>
          <w:p>
            <w:r>
              <w:rPr>
                <w:b w:val="false"/>
                <w:bCs w:val="false"/>
                <w:sz w:val="20"/>
                <w:szCs w:val="20"/>
              </w:rPr>
              <w:t xml:space="preserve">Eighth notes are the conventional "straight" default subdivision in staff notation.</w:t>
            </w:r>
          </w:p>
        </w:tc>
      </w:tr>
      <w:tr>
        <w:tc>
          <w:tcPr>
            <w:tcW w:type="dxa" w:w="800"/>
          </w:tcPr>
          <w:p>
            <w:r>
              <w:rPr>
                <w:b w:val="false"/>
                <w:bCs w:val="false"/>
                <w:sz w:val="20"/>
                <w:szCs w:val="20"/>
              </w:rPr>
              <w:t xml:space="preserve">MA9</w:t>
            </w:r>
          </w:p>
        </w:tc>
        <w:tc>
          <w:tcPr>
            <w:tcW w:type="dxa" w:w="3200"/>
          </w:tcPr>
          <w:p>
            <w:r>
              <w:rPr>
                <w:b w:val="false"/>
                <w:bCs w:val="false"/>
                <w:sz w:val="20"/>
                <w:szCs w:val="20"/>
              </w:rPr>
              <w:t xml:space="preserve">Rehearsal time per read-through of the new syncopated passage</w:t>
            </w:r>
          </w:p>
        </w:tc>
        <w:tc>
          <w:tcPr>
            <w:tcW w:type="dxa" w:w="2200"/>
          </w:tcPr>
          <w:p>
            <w:r>
              <w:rPr>
                <w:b w:val="false"/>
                <w:bCs w:val="false"/>
                <w:sz w:val="20"/>
                <w:szCs w:val="20"/>
              </w:rPr>
              <w:t xml:space="preserve">2 1/2 minutes</w:t>
            </w:r>
          </w:p>
        </w:tc>
        <w:tc>
          <w:tcPr>
            <w:tcW w:type="dxa" w:w="2800"/>
          </w:tcPr>
          <w:p>
            <w:r>
              <w:rPr>
                <w:b w:val="false"/>
                <w:bCs w:val="false"/>
                <w:sz w:val="20"/>
                <w:szCs w:val="20"/>
              </w:rPr>
              <w:t xml:space="preserve">No public data exists; based on a full pass of the 16-bar cue at 45 BPM plus a reset/count-off.</w:t>
            </w:r>
          </w:p>
        </w:tc>
      </w:tr>
      <w:tr>
        <w:tc>
          <w:tcPr>
            <w:tcW w:type="dxa" w:w="800"/>
          </w:tcPr>
          <w:p>
            <w:r>
              <w:rPr>
                <w:b w:val="false"/>
                <w:bCs w:val="false"/>
                <w:sz w:val="20"/>
                <w:szCs w:val="20"/>
              </w:rPr>
              <w:t xml:space="preserve">MA10</w:t>
            </w:r>
          </w:p>
        </w:tc>
        <w:tc>
          <w:tcPr>
            <w:tcW w:type="dxa" w:w="3200"/>
          </w:tcPr>
          <w:p>
            <w:r>
              <w:rPr>
                <w:b w:val="false"/>
                <w:bCs w:val="false"/>
                <w:sz w:val="20"/>
                <w:szCs w:val="20"/>
              </w:rPr>
              <w:t xml:space="preserve">Rehearsal time remaining in the booked session for new material</w:t>
            </w:r>
          </w:p>
        </w:tc>
        <w:tc>
          <w:tcPr>
            <w:tcW w:type="dxa" w:w="2200"/>
          </w:tcPr>
          <w:p>
            <w:r>
              <w:rPr>
                <w:b w:val="false"/>
                <w:bCs w:val="false"/>
                <w:sz w:val="20"/>
                <w:szCs w:val="20"/>
              </w:rPr>
              <w:t xml:space="preserve">22 1/2 minutes</w:t>
            </w:r>
          </w:p>
        </w:tc>
        <w:tc>
          <w:tcPr>
            <w:tcW w:type="dxa" w:w="2800"/>
          </w:tcPr>
          <w:p>
            <w:r>
              <w:rPr>
                <w:b w:val="false"/>
                <w:bCs w:val="false"/>
                <w:sz w:val="20"/>
                <w:szCs w:val="20"/>
              </w:rPr>
              <w:t xml:space="preserve">Total booked session minus time already spent this session rehearsing the Straight Cut.</w:t>
            </w:r>
          </w:p>
        </w:tc>
      </w:tr>
      <w:tr>
        <w:tc>
          <w:tcPr>
            <w:tcW w:type="dxa" w:w="800"/>
          </w:tcPr>
          <w:p>
            <w:r>
              <w:rPr>
                <w:b w:val="false"/>
                <w:bCs w:val="false"/>
                <w:sz w:val="20"/>
                <w:szCs w:val="20"/>
              </w:rPr>
              <w:t xml:space="preserve">MA11</w:t>
            </w:r>
          </w:p>
        </w:tc>
        <w:tc>
          <w:tcPr>
            <w:tcW w:type="dxa" w:w="3200"/>
          </w:tcPr>
          <w:p>
            <w:r>
              <w:rPr>
                <w:b w:val="false"/>
                <w:bCs w:val="false"/>
                <w:sz w:val="20"/>
                <w:szCs w:val="20"/>
              </w:rPr>
              <w:t xml:space="preserve">Probability the Straight Cut's tempo-compromise take is rejected on delivery</w:t>
            </w:r>
          </w:p>
        </w:tc>
        <w:tc>
          <w:tcPr>
            <w:tcW w:type="dxa" w:w="2200"/>
          </w:tcPr>
          <w:p>
            <w:r>
              <w:rPr>
                <w:b w:val="false"/>
                <w:bCs w:val="false"/>
                <w:sz w:val="20"/>
                <w:szCs w:val="20"/>
              </w:rPr>
              <w:t xml:space="preserve">1/3</w:t>
            </w:r>
          </w:p>
        </w:tc>
        <w:tc>
          <w:tcPr>
            <w:tcW w:type="dxa" w:w="2800"/>
          </w:tcPr>
          <w:p>
            <w:r>
              <w:rPr>
                <w:b w:val="false"/>
                <w:bCs w:val="false"/>
                <w:sz w:val="20"/>
                <w:szCs w:val="20"/>
              </w:rPr>
              <w:t xml:space="preserve">No published rejection-rate data exists; set in line with Larkspur Sound's own delivery history with this client.</w:t>
            </w:r>
          </w:p>
        </w:tc>
      </w:tr>
      <w:tr>
        <w:tc>
          <w:tcPr>
            <w:tcW w:type="dxa" w:w="800"/>
          </w:tcPr>
          <w:p>
            <w:r>
              <w:rPr>
                <w:b w:val="false"/>
                <w:bCs w:val="false"/>
                <w:sz w:val="20"/>
                <w:szCs w:val="20"/>
              </w:rPr>
              <w:t xml:space="preserve">MA12</w:t>
            </w:r>
          </w:p>
        </w:tc>
        <w:tc>
          <w:tcPr>
            <w:tcW w:type="dxa" w:w="3200"/>
          </w:tcPr>
          <w:p>
            <w:r>
              <w:rPr>
                <w:b w:val="false"/>
                <w:bCs w:val="false"/>
                <w:sz w:val="20"/>
                <w:szCs w:val="20"/>
              </w:rPr>
              <w:t xml:space="preserve">Probability the Downbeat Split's rehearsed, exact-fit take is rejected on delivery</w:t>
            </w:r>
          </w:p>
        </w:tc>
        <w:tc>
          <w:tcPr>
            <w:tcW w:type="dxa" w:w="2200"/>
          </w:tcPr>
          <w:p>
            <w:r>
              <w:rPr>
                <w:b w:val="false"/>
                <w:bCs w:val="false"/>
                <w:sz w:val="20"/>
                <w:szCs w:val="20"/>
              </w:rPr>
              <w:t xml:space="preserve">1/20</w:t>
            </w:r>
          </w:p>
        </w:tc>
        <w:tc>
          <w:tcPr>
            <w:tcW w:type="dxa" w:w="2800"/>
          </w:tcPr>
          <w:p>
            <w:r>
              <w:rPr>
                <w:b w:val="false"/>
                <w:bCs w:val="false"/>
                <w:sz w:val="20"/>
                <w:szCs w:val="20"/>
              </w:rPr>
              <w:t xml:space="preserve">No published rejection-rate data exists; set well below MA11 because the passage is rehearsed to an exact target across 9 read-throughs.</w:t>
            </w:r>
          </w:p>
        </w:tc>
      </w:tr>
    </w:tbl>
    <w:p>
      <w:pPr>
        <w:pStyle w:val="Heading1"/>
        <w:spacing w:after="120" w:before="200"/>
      </w:pPr>
      <w:r>
        <w:t xml:space="preserve">Appendix F — Sources</w:t>
      </w:r>
    </w:p>
    <w:p>
      <w:pPr>
        <w:spacing w:after="140"/>
      </w:pPr>
      <w:r>
        <w:t xml:space="preserve">All AFM figures below come from the American Federation of Musicians' own Commercial Announcements Agreement text (a national union agreement, not a third-party summary), which Appendix C's own intro already flagged as the intended real anchor for this case's rehearsal-cost side. Every other open figure in Appendices A, B, and D described a property of this case's invented cue and session, which — per Appendix A's own note that "Larkspur Sound and this specific cue are invented for this case" — is not independently sourceable; those became the stated Modeling Assumptions in Appendix E instead.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000"/>
        <w:gridCol w:w="3000"/>
        <w:gridCol w:w="900"/>
        <w:gridCol w:w="900"/>
      </w:tblGrid>
      <w:tr>
        <w:tc>
          <w:tcPr>
            <w:tcW w:type="dxa" w:w="700"/>
            <w:shd w:fill="1a3a5c" w:val="clear"/>
          </w:tcPr>
          <w:p>
            <w:r>
              <w:rPr>
                <w:b/>
                <w:bCs/>
                <w:color w:val="FFFFFF"/>
                <w:sz w:val="20"/>
                <w:szCs w:val="20"/>
              </w:rPr>
              <w:t xml:space="preserve">id</w:t>
            </w:r>
          </w:p>
        </w:tc>
        <w:tc>
          <w:tcPr>
            <w:tcW w:type="dxa" w:w="2600"/>
            <w:shd w:fill="1a3a5c" w:val="clear"/>
          </w:tcPr>
          <w:p>
            <w:r>
              <w:rPr>
                <w:b/>
                <w:bCs/>
                <w:color w:val="FFFFFF"/>
                <w:sz w:val="20"/>
                <w:szCs w:val="20"/>
              </w:rPr>
              <w:t xml:space="preserve">Claim</w:t>
            </w:r>
          </w:p>
        </w:tc>
        <w:tc>
          <w:tcPr>
            <w:tcW w:type="dxa" w:w="1000"/>
            <w:shd w:fill="1a3a5c" w:val="clear"/>
          </w:tcPr>
          <w:p>
            <w:r>
              <w:rPr>
                <w:b/>
                <w:bCs/>
                <w:color w:val="FFFFFF"/>
                <w:sz w:val="20"/>
                <w:szCs w:val="20"/>
              </w:rPr>
              <w:t xml:space="preserve">Value</w:t>
            </w:r>
          </w:p>
        </w:tc>
        <w:tc>
          <w:tcPr>
            <w:tcW w:type="dxa" w:w="3000"/>
            <w:shd w:fill="1a3a5c" w:val="clear"/>
          </w:tcPr>
          <w:p>
            <w:r>
              <w:rPr>
                <w:b/>
                <w:bCs/>
                <w:color w:val="FFFFFF"/>
                <w:sz w:val="20"/>
                <w:szCs w:val="20"/>
              </w:rPr>
              <w:t xml:space="preserve">Source</w:t>
            </w:r>
          </w:p>
        </w:tc>
        <w:tc>
          <w:tcPr>
            <w:tcW w:type="dxa" w:w="900"/>
            <w:shd w:fill="1a3a5c" w:val="clear"/>
          </w:tcPr>
          <w:p>
            <w:r>
              <w:rPr>
                <w:b/>
                <w:bCs/>
                <w:color w:val="FFFFFF"/>
                <w:sz w:val="20"/>
                <w:szCs w:val="20"/>
              </w:rPr>
              <w:t xml:space="preserve">Accessed</w:t>
            </w:r>
          </w:p>
        </w:tc>
        <w:tc>
          <w:tcPr>
            <w:tcW w:type="dxa" w:w="900"/>
            <w:shd w:fill="1a3a5c" w:val="clear"/>
          </w:tcPr>
          <w:p>
            <w:r>
              <w:rPr>
                <w:b/>
                <w:bCs/>
                <w:color w:val="FFFFFF"/>
                <w:sz w:val="20"/>
                <w:szCs w:val="20"/>
              </w:rPr>
              <w:t xml:space="preserve">Confidence</w:t>
            </w:r>
          </w:p>
        </w:tc>
      </w:tr>
      <w:tr>
        <w:tc>
          <w:tcPr>
            <w:tcW w:type="dxa" w:w="700"/>
          </w:tcPr>
          <w:p>
            <w:r>
              <w:rPr>
                <w:b w:val="false"/>
                <w:bCs w:val="false"/>
                <w:sz w:val="20"/>
                <w:szCs w:val="20"/>
              </w:rPr>
              <w:t xml:space="preserve">S1</w:t>
            </w:r>
          </w:p>
        </w:tc>
        <w:tc>
          <w:tcPr>
            <w:tcW w:type="dxa" w:w="2600"/>
          </w:tcPr>
          <w:p>
            <w:r>
              <w:rPr>
                <w:b w:val="false"/>
                <w:bCs w:val="false"/>
                <w:sz w:val="20"/>
                <w:szCs w:val="20"/>
              </w:rPr>
              <w:t xml:space="preserve">AFM commercial/jingle session rehearsal rate (Side Musician, one-hour minimum call)</w:t>
            </w:r>
          </w:p>
        </w:tc>
        <w:tc>
          <w:tcPr>
            <w:tcW w:type="dxa" w:w="1000"/>
          </w:tcPr>
          <w:p>
            <w:r>
              <w:rPr>
                <w:b w:val="false"/>
                <w:bCs w:val="false"/>
                <w:sz w:val="20"/>
                <w:szCs w:val="20"/>
              </w:rPr>
              <w:t xml:space="preserve">$133.01</w:t>
            </w:r>
          </w:p>
        </w:tc>
        <w:tc>
          <w:tcPr>
            <w:tcW w:type="dxa" w:w="3000"/>
          </w:tcPr>
          <w:p>
            <w:hyperlink w:history="1" r:id="rId_qr1imscyix2zhczunifo">
              <w:r>
                <w:rPr>
                  <w:rStyle w:val="Hyperlink"/>
                  <w:color w:val="1a3a5c"/>
                  <w:u w:val="single"/>
                </w:rPr>
                <w:t xml:space="preserve">AFM Commercial Announcements Signatory Packet</w:t>
              </w:r>
            </w:hyperlink>
            <w:r>
              <w:rPr>
                <w:sz w:val="18"/>
                <w:szCs w:val="18"/>
              </w:rPr>
              <w:t xml:space="preserve">, Version 2 (2023-09-29)</w:t>
            </w:r>
          </w:p>
        </w:tc>
        <w:tc>
          <w:tcPr>
            <w:tcW w:type="dxa" w:w="900"/>
          </w:tcPr>
          <w:p>
            <w:r>
              <w:rPr>
                <w:b w:val="false"/>
                <w:bCs w:val="false"/>
                <w:sz w:val="20"/>
                <w:szCs w:val="20"/>
              </w:rPr>
              <w:t xml:space="preserve">2026-08-26</w:t>
            </w:r>
          </w:p>
        </w:tc>
        <w:tc>
          <w:tcPr>
            <w:tcW w:type="dxa" w:w="900"/>
          </w:tcPr>
          <w:p>
            <w:r>
              <w:rPr>
                <w:b w:val="false"/>
                <w:bCs w:val="false"/>
                <w:sz w:val="20"/>
                <w:szCs w:val="20"/>
              </w:rPr>
              <w:t xml:space="preserve">HIGH</w:t>
            </w:r>
          </w:p>
        </w:tc>
      </w:tr>
      <w:tr>
        <w:tc>
          <w:tcPr>
            <w:tcW w:type="dxa" w:w="700"/>
          </w:tcPr>
          <w:p>
            <w:r>
              <w:rPr>
                <w:b w:val="false"/>
                <w:bCs w:val="false"/>
                <w:sz w:val="20"/>
                <w:szCs w:val="20"/>
              </w:rPr>
              <w:t xml:space="preserve">S2</w:t>
            </w:r>
          </w:p>
        </w:tc>
        <w:tc>
          <w:tcPr>
            <w:tcW w:type="dxa" w:w="2600"/>
          </w:tcPr>
          <w:p>
            <w:r>
              <w:rPr>
                <w:b w:val="false"/>
                <w:bCs w:val="false"/>
                <w:sz w:val="20"/>
                <w:szCs w:val="20"/>
              </w:rPr>
              <w:t xml:space="preserve">AFM standard minimum session call length</w:t>
            </w:r>
          </w:p>
        </w:tc>
        <w:tc>
          <w:tcPr>
            <w:tcW w:type="dxa" w:w="1000"/>
          </w:tcPr>
          <w:p>
            <w:r>
              <w:rPr>
                <w:b w:val="false"/>
                <w:bCs w:val="false"/>
                <w:sz w:val="20"/>
                <w:szCs w:val="20"/>
              </w:rPr>
              <w:t xml:space="preserve">60 minutes</w:t>
            </w:r>
          </w:p>
        </w:tc>
        <w:tc>
          <w:tcPr>
            <w:tcW w:type="dxa" w:w="3000"/>
          </w:tcPr>
          <w:p>
            <w:hyperlink w:history="1" r:id="rIdkp1vyz0pyzjx2dsgvuyuj">
              <w:r>
                <w:rPr>
                  <w:rStyle w:val="Hyperlink"/>
                  <w:color w:val="1a3a5c"/>
                  <w:u w:val="single"/>
                </w:rPr>
                <w:t xml:space="preserve">AFM Commercial Announcements Signatory Packet</w:t>
              </w:r>
            </w:hyperlink>
            <w:r>
              <w:rPr>
                <w:sz w:val="18"/>
                <w:szCs w:val="18"/>
              </w:rPr>
              <w:t xml:space="preserve">, Version 2 (2023-09-29)</w:t>
            </w:r>
          </w:p>
        </w:tc>
        <w:tc>
          <w:tcPr>
            <w:tcW w:type="dxa" w:w="900"/>
          </w:tcPr>
          <w:p>
            <w:r>
              <w:rPr>
                <w:b w:val="false"/>
                <w:bCs w:val="false"/>
                <w:sz w:val="20"/>
                <w:szCs w:val="20"/>
              </w:rPr>
              <w:t xml:space="preserve">2026-08-26</w:t>
            </w:r>
          </w:p>
        </w:tc>
        <w:tc>
          <w:tcPr>
            <w:tcW w:type="dxa" w:w="900"/>
          </w:tcPr>
          <w:p>
            <w:r>
              <w:rPr>
                <w:b w:val="false"/>
                <w:bCs w:val="false"/>
                <w:sz w:val="20"/>
                <w:szCs w:val="20"/>
              </w:rPr>
              <w:t xml:space="preserve">HIGH</w:t>
            </w:r>
          </w:p>
        </w:tc>
      </w:tr>
    </w:tbl>
    <w:p>
      <w:pPr>
        <w:pStyle w:val="Heading1"/>
        <w:spacing w:after="120" w:before="200"/>
      </w:pPr>
      <w:r>
        <w:t xml:space="preserve">Appendix G — "How To…" Math Questions To Research</w:t>
      </w:r>
    </w:p>
    <w:p>
      <w:pPr>
        <w:pStyle w:val="Heading3"/>
        <w:spacing w:after="80" w:before="200"/>
      </w:pPr>
      <w:r>
        <w:t xml:space="preserve">Vocabulary terms</w:t>
      </w:r>
    </w:p>
    <w:p>
      <w:pPr>
        <w:spacing w:after="140"/>
      </w:pPr>
      <w:r>
        <w:rPr>
          <w:i/>
          <w:iCs/>
        </w:rPr>
        <w:t xml:space="preserve">(none claimed for this case)</w:t>
      </w:r>
    </w:p>
    <w:p>
      <w:pPr>
        <w:pStyle w:val="Heading3"/>
        <w:spacing w:after="80" w:before="200"/>
      </w:pPr>
      <w:r>
        <w:t xml:space="preserve">"How to…" questions</w:t>
      </w:r>
    </w:p>
    <w:p>
      <w:pPr>
        <w:pStyle w:val="ListParagraph"/>
        <w:numPr>
          <w:ilvl w:val="0"/>
          <w:numId w:val="2"/>
        </w:numPr>
        <w:spacing w:after="100"/>
      </w:pPr>
      <w:r>
        <w:t xml:space="preserve">How to multiply two mixed numbers</w:t>
      </w:r>
    </w:p>
    <w:p>
      <w:pPr>
        <w:pStyle w:val="ListParagraph"/>
        <w:numPr>
          <w:ilvl w:val="0"/>
          <w:numId w:val="2"/>
        </w:numPr>
        <w:spacing w:after="100"/>
      </w:pPr>
      <w:r>
        <w:t xml:space="preserve">How to divide a fraction by a fraction</w:t>
      </w:r>
    </w:p>
    <w:p>
      <w:pPr>
        <w:pStyle w:val="ListParagraph"/>
        <w:numPr>
          <w:ilvl w:val="0"/>
          <w:numId w:val="2"/>
        </w:numPr>
        <w:spacing w:after="100"/>
      </w:pPr>
      <w:r>
        <w:t xml:space="preserve">How to multiply a fraction and a mixed number</w:t>
      </w:r>
    </w:p>
    <w:p>
      <w:pPr>
        <w:pStyle w:val="ListParagraph"/>
        <w:numPr>
          <w:ilvl w:val="0"/>
          <w:numId w:val="2"/>
        </w:numPr>
        <w:spacing w:after="100"/>
      </w:pPr>
      <w:r>
        <w:t xml:space="preserve">How to divide fractions and mixed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qr1imscyix2zhczunifo" Type="http://schemas.openxmlformats.org/officeDocument/2006/relationships/hyperlink" Target="https://afm47.org/docs/AFM%20Commercial%20Announcements%20Signatory%20Packet%20-%20October%202023.pdf" TargetMode="External"/><Relationship Id="rIdkp1vyz0pyzjx2dsgvuyuj" Type="http://schemas.openxmlformats.org/officeDocument/2006/relationships/hyperlink" Target="https://afm47.org/docs/AFM%20Commercial%20Announcements%20Signatory%20Packet%20-%20October%202023.pdf"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2026-08-30T22:25:54.823Z</dcterms:created>
  <dcterms:modified xsi:type="dcterms:W3CDTF">2026-08-30T22:25:54.827Z</dcterms:modified>
</cp:coreProperties>
</file>

<file path=docProps/custom.xml><?xml version="1.0" encoding="utf-8"?>
<Properties xmlns="http://schemas.openxmlformats.org/officeDocument/2006/custom-properties" xmlns:vt="http://schemas.openxmlformats.org/officeDocument/2006/docPropsVTypes"/>
</file>