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Enclosure Call</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Nina Odom sets two foam models side by side on the light table and steps back. One tapers like a horn, wide at the base and narrowing to a flat crown. The other is a perfect ball, matte white, turning slowly where she nudges it with one finger. Both are the same speaker inside — same driver, same battery, same guts — wearing two different shells.</w:t>
      </w:r>
    </w:p>
    <w:p>
      <w:r>
        <w:t xml:space="preserve">Across the table, the client's audio engineer taps the tapered model. "This is the shape. The dispersion pattern doesn't lie." Two desks over, her own studio's creative director has the sphere pinned to the mood board with a dozen lifestyle photos of it catching light on a kitchen counter. "That's the shape people pick up in a store," he says, not looking up.</w:t>
      </w:r>
    </w:p>
    <w:p>
      <w:r>
        <w:t xml:space="preserve">Nina's laptop is open to the cost model her studio's ops lead sent an hour ago, half-finished, tabs still loading. She has the mold quotes in one window and the freight broker's numbers in another, and neither one is done yet. Friday's client review is the last checkpoint before tooling money gets committed — after that, this shape is the shape, on every unit they ship for the life of the product. She pulls the two windows into view, side by side, the same way she set the foam models down.</w:t>
      </w:r>
    </w:p>
    <w:p>
      <w:r>
        <w:t xml:space="preserve">She picks up the tapered shell first, turns it once in her hand, and sets it back down next to the sphere.</w:t>
      </w:r>
    </w:p>
    <w:p>
      <w:pPr>
        <w:pStyle w:val="Heading2"/>
        <w:spacing w:after="120" w:before="240"/>
      </w:pPr>
      <w:r>
        <w:t xml:space="preserve">Background</w:t>
      </w:r>
    </w:p>
    <w:p>
      <w:r>
        <w:t xml:space="preserve">Nina Odom is an industrial designer at a consumer-product design studio under contract to build the enclosure for a client's new portable speaker. She owns the enclosure recommendation she brings to Friday's client review, and she is accountable for defending it in front of both the client's engineering team and her own studio's creative director — whichever shape she recommends is the one whose mold gets ordered immediately afterward (SEE APPENDIX A).</w:t>
      </w:r>
    </w:p>
    <w:p>
      <w:r>
        <w:t xml:space="preserve">Two shell geometries are on the table:</w:t>
      </w:r>
    </w:p>
    <w:p>
      <w:r>
        <w:rPr>
          <w:b/>
          <w:bCs/>
        </w:rPr>
        <w:t xml:space="preserve">Project Horn</w:t>
      </w:r>
      <w:r>
        <w:t xml:space="preserve"> — a cone-frustum enclosure: a tapered body, wide at the base and narrower at the crown, the shape the client's audio engineer wants for its acoustic dispersion pattern (SEE APPENDIX A). A tapered mold costs more to cut than a simple one, and frustum-shaped units do not nest as tightly for shipping as a flat-sided box would (SEE APPENDICES B and C).</w:t>
      </w:r>
    </w:p>
    <w:p>
      <w:r>
        <w:rPr>
          <w:b/>
          <w:bCs/>
        </w:rPr>
        <w:t xml:space="preserve">Project Orb</w:t>
      </w:r>
      <w:r>
        <w:t xml:space="preserve"> — a spherical enclosure: the studio's preferred signature shape, chosen for shelf appeal and the way it photographs in lifestyle marketing (SEE APPENDIX A). A sphere is a simpler shape to mold, but spheres are the well-known worst case for packing objects into a rectangular space — a stack of spheres cannot fill a shipping container the way a stack of flat-sided objects can, which drives up how much it costs to ship each finished unit (SEE APPENDICES B and C).</w:t>
      </w:r>
    </w:p>
    <w:p>
      <w:r>
        <w:t xml:space="preserve">Nina's recommendation must be judged on one number: </w:t>
      </w:r>
      <w:r>
        <w:rPr>
          <w:b/>
          <w:bCs/>
        </w:rPr>
        <w:t xml:space="preserve">total cost per unit at the client's target first-year production volume</w:t>
      </w:r>
      <w:r>
        <w:t xml:space="preserve"> — materials plus mold tooling plus shipping, computed from each shape's actual surface area and each shape's actual packing efficiency in a shipping container (SEE APPENDICES A, B and C). The client has stated a target production volume for the first year of manufacturing (SEE APPENDIX A); every dollar figure in this case is scaled against that same volume. Every sourced and assumed figure in this case is listed in </w:t>
      </w:r>
      <w:r>
        <w:rPr>
          <w:b/>
          <w:bCs/>
        </w:rPr>
        <w:t xml:space="preserve">APPENDIX D</w:t>
      </w:r>
      <w:r>
        <w:t xml:space="preserve"> and the </w:t>
      </w:r>
      <w:r>
        <w:rPr>
          <w:b/>
          <w:bCs/>
        </w:rPr>
        <w:t xml:space="preserve">Modeling Assumptions</w:t>
      </w:r>
      <w:r>
        <w:t xml:space="preserve"> section, and the vocabulary and "how to…" skills this case will ask of you are listed in </w:t>
      </w:r>
      <w:r>
        <w:rPr>
          <w:b/>
          <w:bCs/>
        </w:rPr>
        <w:t xml:space="preserve">APPENDIX E</w:t>
      </w:r>
      <w:r>
        <w:t xml:space="preserve"> — that is where Challenge 1 sends you.</w:t>
      </w:r>
    </w:p>
    <w:p>
      <w:pPr>
        <w:pStyle w:val="Heading2"/>
        <w:spacing w:after="120" w:before="240"/>
      </w:pPr>
      <w:r>
        <w:t xml:space="preserve">Dilemma</w:t>
      </w:r>
    </w:p>
    <w:p>
      <w:r>
        <w:t xml:space="preserve">You are Nina Odom. Do you: A.) Recommend Project Horn — the cone-frustum enclosure the audio engineer wants, with a costlier tapered mold and less efficient shipping stacking OR B.) Recommend Project Orb — the spherical enclosure the creative director wants, with a cheaper mold but real, well-known sphere-packing shipping waste</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dimensioned, labeled diagram of each enclosure option (SEE APPENDIX A) — Project Horn's     cone frustum and Project Orb's sphere — with the 3-D shape of each correctly named and every     dimension used anywhere in your calculations marked directly on the diagram.     D2. A materials-cost table (SEE APPENDIX B) showing each option's total exterior surface area     and the resulting material cost per unit.     D3. A packing-and-shipping table (SEE APPENDIX C) showing each option's packing efficiency     inside a standard shipping container, the number of units that fit per container, and the     resulting shipping cost per unit.     D4. A total-cost-per-unit comparison table combining materials (D2), amortized mold tooling     (SEE APPENDIX B), and shipping (D3) for Project Horn vs. Project Orb at the client's target     production volume (SEE APPENDIX A), with your recommendation stated and defended using that     final column.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Enclosure Options and Production Target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Project Horn (cone frustum)</w:t>
            </w:r>
          </w:p>
        </w:tc>
        <w:tc>
          <w:tcPr>
            <w:tcW w:type="dxa" w:w="3000"/>
            <w:shd w:fill="DDDDDD" w:val="clear"/>
          </w:tcPr>
          <w:p>
            <w:r>
              <w:t xml:space="preserve">Project Orb (sphere)</w:t>
            </w:r>
          </w:p>
        </w:tc>
      </w:tr>
      <w:tr>
        <w:tc>
          <w:tcPr>
            <w:tcW w:type="dxa" w:w="3000"/>
          </w:tcPr>
          <w:p>
            <w:r>
              <w:t xml:space="preserve">Shape</w:t>
            </w:r>
          </w:p>
        </w:tc>
        <w:tc>
          <w:tcPr>
            <w:tcW w:type="dxa" w:w="3000"/>
          </w:tcPr>
          <w:p>
            <w:r>
              <w:t xml:space="preserve">Cone frustum</w:t>
            </w:r>
          </w:p>
        </w:tc>
        <w:tc>
          <w:tcPr>
            <w:tcW w:type="dxa" w:w="3000"/>
          </w:tcPr>
          <w:p>
            <w:r>
              <w:t xml:space="preserve">Sphere</w:t>
            </w:r>
          </w:p>
        </w:tc>
      </w:tr>
      <w:tr>
        <w:tc>
          <w:tcPr>
            <w:tcW w:type="dxa" w:w="3000"/>
          </w:tcPr>
          <w:p>
            <w:r>
              <w:t xml:space="preserve">Base radius</w:t>
            </w:r>
          </w:p>
        </w:tc>
        <w:tc>
          <w:tcPr>
            <w:tcW w:type="dxa" w:w="3000"/>
          </w:tcPr>
          <w:p>
            <w:r>
              <w:t xml:space="preserve">3.5 in [MA1]</w:t>
            </w:r>
          </w:p>
        </w:tc>
        <w:tc>
          <w:tcPr>
            <w:tcW w:type="dxa" w:w="3000"/>
          </w:tcPr>
          <w:p>
            <w:r>
              <w:t xml:space="preserve">—</w:t>
            </w:r>
          </w:p>
        </w:tc>
      </w:tr>
      <w:tr>
        <w:tc>
          <w:tcPr>
            <w:tcW w:type="dxa" w:w="3000"/>
          </w:tcPr>
          <w:p>
            <w:r>
              <w:t xml:space="preserve">Top (crown) radius</w:t>
            </w:r>
          </w:p>
        </w:tc>
        <w:tc>
          <w:tcPr>
            <w:tcW w:type="dxa" w:w="3000"/>
          </w:tcPr>
          <w:p>
            <w:r>
              <w:t xml:space="preserve">2.0 in [MA1]</w:t>
            </w:r>
          </w:p>
        </w:tc>
        <w:tc>
          <w:tcPr>
            <w:tcW w:type="dxa" w:w="3000"/>
          </w:tcPr>
          <w:p>
            <w:r>
              <w:t xml:space="preserve">—</w:t>
            </w:r>
          </w:p>
        </w:tc>
      </w:tr>
      <w:tr>
        <w:tc>
          <w:tcPr>
            <w:tcW w:type="dxa" w:w="3000"/>
          </w:tcPr>
          <w:p>
            <w:r>
              <w:t xml:space="preserve">Overall height / radius</w:t>
            </w:r>
          </w:p>
        </w:tc>
        <w:tc>
          <w:tcPr>
            <w:tcW w:type="dxa" w:w="3000"/>
          </w:tcPr>
          <w:p>
            <w:r>
              <w:t xml:space="preserve">6.0 in [MA1]</w:t>
            </w:r>
          </w:p>
        </w:tc>
        <w:tc>
          <w:tcPr>
            <w:tcW w:type="dxa" w:w="3000"/>
          </w:tcPr>
          <w:p>
            <w:r>
              <w:t xml:space="preserve">3.5 in [MA1]</w:t>
            </w:r>
          </w:p>
        </w:tc>
      </w:tr>
      <w:tr>
        <w:tc>
          <w:tcPr>
            <w:tcW w:type="dxa" w:w="3000"/>
          </w:tcPr>
          <w:p>
            <w:r>
              <w:t xml:space="preserve">Slant height</w:t>
            </w:r>
          </w:p>
        </w:tc>
        <w:tc>
          <w:tcPr>
            <w:tcW w:type="dxa" w:w="3000"/>
          </w:tcPr>
          <w:p>
            <w:r>
              <w:t xml:space="preserve">6.19 in [MA1]</w:t>
            </w:r>
          </w:p>
        </w:tc>
        <w:tc>
          <w:tcPr>
            <w:tcW w:type="dxa" w:w="3000"/>
          </w:tcPr>
          <w:p>
            <w:r>
              <w:t xml:space="preserve">—</w:t>
            </w:r>
          </w:p>
        </w:tc>
      </w:tr>
      <w:tr>
        <w:tc>
          <w:tcPr>
            <w:tcW w:type="dxa" w:w="3000"/>
          </w:tcPr>
          <w:p>
            <w:r>
              <w:t xml:space="preserve">Client's stated target first-year production volume (units, both options)</w:t>
            </w:r>
          </w:p>
        </w:tc>
        <w:tc>
          <w:tcPr>
            <w:tcW w:type="dxa" w:w="3000"/>
          </w:tcPr>
          <w:p>
            <w:r>
              <w:t xml:space="preserve">250,000 units [MA2]</w:t>
            </w:r>
          </w:p>
        </w:tc>
        <w:tc>
          <w:tcPr>
            <w:tcW w:type="dxa" w:w="3000"/>
          </w:tcPr>
          <w:p>
            <w:r>
              <w:t xml:space="preserve">250,000 units [MA2]</w:t>
            </w:r>
          </w:p>
        </w:tc>
      </w:tr>
    </w:tbl>
    <w:p/>
    <w:p>
      <w:pPr>
        <w:pStyle w:val="Heading2"/>
        <w:spacing w:after="120" w:before="240"/>
      </w:pPr>
      <w:r>
        <w:t xml:space="preserve">Appendix B — Material and Manufacturing Cost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Project Horn</w:t>
            </w:r>
          </w:p>
        </w:tc>
        <w:tc>
          <w:tcPr>
            <w:tcW w:type="dxa" w:w="3000"/>
            <w:shd w:fill="DDDDDD" w:val="clear"/>
          </w:tcPr>
          <w:p>
            <w:r>
              <w:t xml:space="preserve">Project Orb</w:t>
            </w:r>
          </w:p>
        </w:tc>
      </w:tr>
      <w:tr>
        <w:tc>
          <w:tcPr>
            <w:tcW w:type="dxa" w:w="3000"/>
          </w:tcPr>
          <w:p>
            <w:r>
              <w:t xml:space="preserve">Enclosure shell material</w:t>
            </w:r>
          </w:p>
        </w:tc>
        <w:tc>
          <w:tcPr>
            <w:tcW w:type="dxa" w:w="3000"/>
          </w:tcPr>
          <w:p>
            <w:r>
              <w:t xml:space="preserve">PC/ABS blend [MA3]</w:t>
            </w:r>
          </w:p>
        </w:tc>
        <w:tc>
          <w:tcPr>
            <w:tcW w:type="dxa" w:w="3000"/>
          </w:tcPr>
          <w:p>
            <w:r>
              <w:t xml:space="preserve">PC/ABS blend [MA3]</w:t>
            </w:r>
          </w:p>
        </w:tc>
      </w:tr>
      <w:tr>
        <w:tc>
          <w:tcPr>
            <w:tcW w:type="dxa" w:w="3000"/>
          </w:tcPr>
          <w:p>
            <w:r>
              <w:t xml:space="preserve">Material cost</w:t>
            </w:r>
          </w:p>
        </w:tc>
        <w:tc>
          <w:tcPr>
            <w:tcW w:type="dxa" w:w="3000"/>
          </w:tcPr>
          <w:p>
            <w:r>
              <w:t xml:space="preserve">$0.0031 per sq in [S6]</w:t>
            </w:r>
          </w:p>
        </w:tc>
        <w:tc>
          <w:tcPr>
            <w:tcW w:type="dxa" w:w="3000"/>
          </w:tcPr>
          <w:p>
            <w:r>
              <w:t xml:space="preserve">$0.0031 per sq in [S6]</w:t>
            </w:r>
          </w:p>
        </w:tc>
      </w:tr>
      <w:tr>
        <w:tc>
          <w:tcPr>
            <w:tcW w:type="dxa" w:w="3000"/>
          </w:tcPr>
          <w:p>
            <w:r>
              <w:t xml:space="preserve">Mold tooling cost</w:t>
            </w:r>
          </w:p>
        </w:tc>
        <w:tc>
          <w:tcPr>
            <w:tcW w:type="dxa" w:w="3000"/>
          </w:tcPr>
          <w:p>
            <w:r>
              <w:t xml:space="preserve">$58,000 [MA6]</w:t>
            </w:r>
          </w:p>
        </w:tc>
        <w:tc>
          <w:tcPr>
            <w:tcW w:type="dxa" w:w="3000"/>
          </w:tcPr>
          <w:p>
            <w:r>
              <w:t xml:space="preserve">$32,000 [MA6]</w:t>
            </w:r>
          </w:p>
        </w:tc>
      </w:tr>
    </w:tbl>
    <w:p/>
    <w:p>
      <w:pPr>
        <w:pStyle w:val="Heading2"/>
        <w:spacing w:after="120" w:before="240"/>
      </w:pPr>
      <w:r>
        <w:t xml:space="preserve">Appendix C — Shipping and Packing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Standard shipping container internal volume used in this case</w:t>
            </w:r>
          </w:p>
        </w:tc>
        <w:tc>
          <w:tcPr>
            <w:tcW w:type="dxa" w:w="4500"/>
          </w:tcPr>
          <w:p>
            <w:r>
              <w:t xml:space="preserve">2,683 cu ft [S1]</w:t>
            </w:r>
          </w:p>
        </w:tc>
      </w:tr>
      <w:tr>
        <w:tc>
          <w:tcPr>
            <w:tcW w:type="dxa" w:w="4500"/>
          </w:tcPr>
          <w:p>
            <w:r>
              <w:t xml:space="preserve">Ocean freight cost per container</w:t>
            </w:r>
          </w:p>
        </w:tc>
        <w:tc>
          <w:tcPr>
            <w:tcW w:type="dxa" w:w="4500"/>
          </w:tcPr>
          <w:p>
            <w:r>
              <w:t xml:space="preserve">$3,570.80 [S2]</w:t>
            </w:r>
          </w:p>
        </w:tc>
      </w:tr>
      <w:tr>
        <w:tc>
          <w:tcPr>
            <w:tcW w:type="dxa" w:w="4500"/>
          </w:tcPr>
          <w:p>
            <w:r>
              <w:t xml:space="preserve">Project Horn packing efficiency (fraction of container volume actually filled by nested units)</w:t>
            </w:r>
          </w:p>
        </w:tc>
        <w:tc>
          <w:tcPr>
            <w:tcW w:type="dxa" w:w="4500"/>
          </w:tcPr>
          <w:p>
            <w:r>
              <w:t xml:space="preserve">80% [MA4]</w:t>
            </w:r>
          </w:p>
        </w:tc>
      </w:tr>
      <w:tr>
        <w:tc>
          <w:tcPr>
            <w:tcW w:type="dxa" w:w="4500"/>
          </w:tcPr>
          <w:p>
            <w:r>
              <w:t xml:space="preserve">Project Orb packing efficiency (fraction of container volume actually filled by nested units)</w:t>
            </w:r>
          </w:p>
        </w:tc>
        <w:tc>
          <w:tcPr>
            <w:tcW w:type="dxa" w:w="4500"/>
          </w:tcPr>
          <w:p>
            <w:r>
              <w:rPr>
                <w:b/>
                <w:bCs/>
              </w:rPr>
              <w:t xml:space="preserve">≈74.05%</w:t>
            </w:r>
            <w:r>
              <w:t xml:space="preserve"> — the Kepler conjecture's proven maximum density for packing equal spheres, the best any arrangement of spheres can do, proved by Thomas Hales; used here as the ceiling on Project Orb's real packing efficiency</w:t>
            </w:r>
          </w:p>
        </w:tc>
      </w:tr>
    </w:tbl>
    <w:p/>
    <w:p>
      <w:r>
        <w:rPr>
          <w:b/>
          <w:bCs/>
        </w:rPr>
        <w:t xml:space="preserve">Why the sphere's packing number needs no separate citation.</w:t>
      </w:r>
      <w:r>
        <w:t xml:space="preserve"> Unlike the tapered mold cost or the freight rate, the ≈74.05% figure is not a market price that changes year to year — it is a mathematical upper bound on how densely any collection of equal-sized spheres can ever be packed, proved as the Kepler conjecture. Project Orb's real packing efficiency in an actual shipping container, with real cardboard dividers and real handling clearance, can only be at or below this ceiling, never above it.</w:t>
      </w:r>
    </w:p>
    <w:p>
      <w:pPr>
        <w:pStyle w:val="Heading2"/>
        <w:spacing w:after="120" w:before="240"/>
      </w:pPr>
      <w:r>
        <w:t xml:space="preserve">Modeling Assumptions</w:t>
      </w:r>
    </w:p>
    <w:p>
      <w:pPr>
        <w:ind w:left="480"/>
      </w:pPr>
      <w:r>
        <w:t xml:space="preserve">These figures are </w:t>
      </w:r>
      <w:r>
        <w:rPr>
          <w:b/>
          <w:bCs/>
        </w:rPr>
        <w:t xml:space="preserve">not sourced</w:t>
      </w:r>
      <w:r>
        <w:t xml:space="preserve">. They are stated scenario assumptions chosen by the case author because no real source can describe a fictional client's fictional prototype or a fictional studio's internal quotes.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Project Horn frustum dimensions (base radius, top radius, height) and Project Orb sphere radius</w:t>
            </w:r>
          </w:p>
        </w:tc>
        <w:tc>
          <w:tcPr>
            <w:tcW w:type="dxa" w:w="1800"/>
          </w:tcPr>
          <w:p>
            <w:r>
              <w:t xml:space="preserve">Base 3.5 in, top 2.0 in, height 6.0 in (slant height 6.19 in, computed); sphere radius 3.5 in</w:t>
            </w:r>
          </w:p>
        </w:tc>
        <w:tc>
          <w:tcPr>
            <w:tcW w:type="dxa" w:w="1800"/>
          </w:tcPr>
          <w:p>
            <w:r>
              <w:t xml:space="preserve">No real "Project Horn"/"Project Orb" spec exists to source — these are the studio's own foam-model dimensions. Sized to a plausible portable-Bluetooth-speaker footprint, with the sphere's radius matched to the frustum's base radius so both shells plausibly house the same driver/battery stack.</w:t>
            </w:r>
          </w:p>
        </w:tc>
        <w:tc>
          <w:tcPr>
            <w:tcW w:type="dxa" w:w="1800"/>
          </w:tcPr>
          <w:p>
            <w:r>
              <w:t xml:space="preserve">These dimensions drive every downstream surface-area and volume calculation. A mechanical ±50% sensitivity check on each dimension shows this assumption </w:t>
            </w:r>
            <w:r>
              <w:rPr>
                <w:b/>
                <w:bCs/>
              </w:rPr>
              <w:t xml:space="preserve">can, by itself, flip the recommendation to Project Horn</w:t>
            </w:r>
            <w:r>
              <w:t xml:space="preserve"> (each of the four dimensions flips it individually at one end of its ±50% range), and several of those flexes also push the margin outside SPEC §2's 20% cap — a Hero who picks very different dimensions should expect not just a different gap, but possibly a different winner.</w:t>
            </w:r>
          </w:p>
        </w:tc>
      </w:tr>
      <w:tr>
        <w:tc>
          <w:tcPr>
            <w:tcW w:type="dxa" w:w="1800"/>
          </w:tcPr>
          <w:p>
            <w:r>
              <w:t xml:space="preserve">MA2</w:t>
            </w:r>
          </w:p>
        </w:tc>
        <w:tc>
          <w:tcPr>
            <w:tcW w:type="dxa" w:w="1800"/>
          </w:tcPr>
          <w:p>
            <w:r>
              <w:t xml:space="preserve">Client's target first-year production volume</w:t>
            </w:r>
          </w:p>
        </w:tc>
        <w:tc>
          <w:tcPr>
            <w:tcW w:type="dxa" w:w="1800"/>
          </w:tcPr>
          <w:p>
            <w:r>
              <w:t xml:space="preserve">250,000 units</w:t>
            </w:r>
          </w:p>
        </w:tc>
        <w:tc>
          <w:tcPr>
            <w:tcW w:type="dxa" w:w="1800"/>
          </w:tcPr>
          <w:p>
            <w:r>
              <w:t xml:space="preserve">Plausible year-one volume for a mid-market consumer portable-audio SKU launch; no real client exists to source a real number from.</w:t>
            </w:r>
          </w:p>
        </w:tc>
        <w:tc>
          <w:tcPr>
            <w:tcW w:type="dxa" w:w="1800"/>
          </w:tcPr>
          <w:p>
            <w:r>
              <w:t xml:space="preserve">Directly sets the amortized-tooling-cost-per-unit term. Below roughly 50,000 units/year, Project Horn's $26,000 tooling premium (MA6) costs more per unit and can flip the recommendation toward Project Orb; above roughly 500,000 units/year the tooling gap shrinks toward negligible per-unit cost and the fixed packing-efficiency gap (MA4 vs. Kepler's 74.05%) dominates, favoring Project Horn more strongly. Confirmed stable under a mechanical ±50% check.</w:t>
            </w:r>
          </w:p>
        </w:tc>
      </w:tr>
      <w:tr>
        <w:tc>
          <w:tcPr>
            <w:tcW w:type="dxa" w:w="1800"/>
          </w:tcPr>
          <w:p>
            <w:r>
              <w:t xml:space="preserve">MA3</w:t>
            </w:r>
          </w:p>
        </w:tc>
        <w:tc>
          <w:tcPr>
            <w:tcW w:type="dxa" w:w="1800"/>
          </w:tcPr>
          <w:p>
            <w:r>
              <w:t xml:space="preserve">Enclosure shell material (both options)</w:t>
            </w:r>
          </w:p>
        </w:tc>
        <w:tc>
          <w:tcPr>
            <w:tcW w:type="dxa" w:w="1800"/>
          </w:tcPr>
          <w:p>
            <w:r>
              <w:t xml:space="preserve">PC/ABS blend</w:t>
            </w:r>
          </w:p>
        </w:tc>
        <w:tc>
          <w:tcPr>
            <w:tcW w:type="dxa" w:w="1800"/>
          </w:tcPr>
          <w:p>
            <w:r>
              <w:t xml:space="preserve">PC/ABS is a well-established, widely used material for consumer-electronics and speaker enclosures (S9) — but which material this fictional studio specifically chose is a scenario detail, not a fact to look up. The same material is assumed for both shells so the comparison is not biased by a material choice.</w:t>
            </w:r>
          </w:p>
        </w:tc>
        <w:tc>
          <w:tcPr>
            <w:tcW w:type="dxa" w:w="1800"/>
          </w:tcPr>
          <w:p>
            <w:r>
              <w:t xml:space="preserve">None — identical for both options, so it cancels out of the Horn-vs-Orb comparison.</w:t>
            </w:r>
          </w:p>
        </w:tc>
      </w:tr>
      <w:tr>
        <w:tc>
          <w:tcPr>
            <w:tcW w:type="dxa" w:w="1800"/>
          </w:tcPr>
          <w:p>
            <w:r>
              <w:t xml:space="preserve">MA4</w:t>
            </w:r>
          </w:p>
        </w:tc>
        <w:tc>
          <w:tcPr>
            <w:tcW w:type="dxa" w:w="1800"/>
          </w:tcPr>
          <w:p>
            <w:r>
              <w:t xml:space="preserve">Project Horn packing efficiency inside a shipping container</w:t>
            </w:r>
          </w:p>
        </w:tc>
        <w:tc>
          <w:tcPr>
            <w:tcW w:type="dxa" w:w="1800"/>
          </w:tcPr>
          <w:p>
            <w:r>
              <w:t xml:space="preserve">80%</w:t>
            </w:r>
          </w:p>
        </w:tc>
        <w:tc>
          <w:tcPr>
            <w:tcW w:type="dxa" w:w="1800"/>
          </w:tcPr>
          <w:p>
            <w:r>
              <w:t xml:space="preserve">Placed between the sphere's proven 74.05% Kepler ceiling (a frustum should out-pack a sphere, since frustums can nest like stacked cups) and the 75–85% fill-rate guidance published for optimized rectangular cartons (S8) — a frustum nests better than a sphere but not as well as a true rectangular box.</w:t>
            </w:r>
          </w:p>
        </w:tc>
        <w:tc>
          <w:tcPr>
            <w:tcW w:type="dxa" w:w="1800"/>
          </w:tcPr>
          <w:p>
            <w:r>
              <w:rPr>
                <w:b/>
                <w:bCs/>
              </w:rPr>
              <w:t xml:space="preserve">This is the most dilemma-sensitive assumption in the case.</w:t>
            </w:r>
            <w:r>
              <w:t xml:space="preserve"> If the true figure is closer to 75% (S8's lower-concern threshold), Project Horn's shipping advantage over Project Orb narrows sharply and the recommendation may flip toward Project Orb. If it is closer to 85% (S8's "achievable" figure), Project Horn's advantage widens. A mechanical ±50% check confirms this does not flip the verdict by itself, but does push the margin outside SPEC §2's 20% cap at the low end.</w:t>
            </w:r>
          </w:p>
        </w:tc>
      </w:tr>
      <w:tr>
        <w:tc>
          <w:tcPr>
            <w:tcW w:type="dxa" w:w="1800"/>
          </w:tcPr>
          <w:p>
            <w:r>
              <w:t xml:space="preserve">MA5</w:t>
            </w:r>
          </w:p>
        </w:tc>
        <w:tc>
          <w:tcPr>
            <w:tcW w:type="dxa" w:w="1800"/>
          </w:tcPr>
          <w:p>
            <w:r>
              <w:t xml:space="preserve">Wall thickness used to derive material cost per sq in (S6)</w:t>
            </w:r>
          </w:p>
        </w:tc>
        <w:tc>
          <w:tcPr>
            <w:tcW w:type="dxa" w:w="1800"/>
          </w:tcPr>
          <w:p>
            <w:r>
              <w:t xml:space="preserve">0.0925 in (midpoint)</w:t>
            </w:r>
          </w:p>
        </w:tc>
        <w:tc>
          <w:tcPr>
            <w:tcW w:type="dxa" w:w="1800"/>
          </w:tcPr>
          <w:p>
            <w:r>
              <w:t xml:space="preserve">Picked as the midpoint of Protolabs' published recommended ABS wall-thickness range, 0.045–0.140 in (S5) — a real range exists, but no single point value is published, since actual wall thickness is a part-specific design choice.</w:t>
            </w:r>
          </w:p>
        </w:tc>
        <w:tc>
          <w:tcPr>
            <w:tcW w:type="dxa" w:w="1800"/>
          </w:tcPr>
          <w:p>
            <w:r>
              <w:t xml:space="preserve">Low. Material cost is a small fraction (well under $1/unit) of total cost per unit next to amortized tooling and shipping, so this pick does not meaningfully affect the recommendation. Confirmed stable under a mechanical ±50% check.</w:t>
            </w:r>
          </w:p>
        </w:tc>
      </w:tr>
      <w:tr>
        <w:tc>
          <w:tcPr>
            <w:tcW w:type="dxa" w:w="1800"/>
          </w:tcPr>
          <w:p>
            <w:r>
              <w:t xml:space="preserve">MA6</w:t>
            </w:r>
          </w:p>
        </w:tc>
        <w:tc>
          <w:tcPr>
            <w:tcW w:type="dxa" w:w="1800"/>
          </w:tcPr>
          <w:p>
            <w:r>
              <w:t xml:space="preserve">Mold tooling cost (production-grade steel tooling at the 250,000-unit/year volume in MA2)</w:t>
            </w:r>
          </w:p>
        </w:tc>
        <w:tc>
          <w:tcPr>
            <w:tcW w:type="dxa" w:w="1800"/>
          </w:tcPr>
          <w:p>
            <w:r>
              <w:t xml:space="preserve">Project Horn (tapered): $58,000; Project Orb (sphere): $32,000</w:t>
            </w:r>
          </w:p>
        </w:tc>
        <w:tc>
          <w:tcPr>
            <w:tcW w:type="dxa" w:w="1800"/>
          </w:tcPr>
          <w:p>
            <w:r>
              <w:t xml:space="preserve">Both anchored inside the published high-volume steel-tooling range of $5,000–$100,000 (S7); the tapered geometry is priced toward the top half of that range per the cited DFM guidance that added complexity (draft, taper, side-action risk) raises tooling cost, while the simple sphere is priced toward the lower-middle. No public source gives a controlled dollar comparison between a tapered mold and a spherical mold for the same part, so a specific point value could not be sourced.</w:t>
            </w:r>
          </w:p>
        </w:tc>
        <w:tc>
          <w:tcPr>
            <w:tcW w:type="dxa" w:w="1800"/>
          </w:tcPr>
          <w:p>
            <w:r>
              <w:rPr>
                <w:b/>
                <w:bCs/>
              </w:rPr>
              <w:t xml:space="preserve">Dilemma-sensitive.</w:t>
            </w:r>
            <w:r>
              <w:t xml:space="preserve"> The $26,000 gap becomes $0.104/unit at the MA2 volume of 250,000 units — small next to the packing-efficiency gap (MA4), but a mechanical ±50% check shows Project Horn's </w:t>
            </w:r>
            <w:r>
              <w:rPr>
                <w:i/>
                <w:iCs/>
              </w:rPr>
              <w:t xml:space="preserve">own</w:t>
            </w:r>
            <w:r>
              <w:t xml:space="preserve"> tooling cost alone (cut to $29,000) is enough to </w:t>
            </w:r>
            <w:r>
              <w:rPr>
                <w:b/>
                <w:bCs/>
              </w:rPr>
              <w:t xml:space="preserve">flip the recommendation to Project Horn</w:t>
            </w:r>
            <w:r>
              <w:t xml:space="preserve">, and raising it (to $87,000) pushes the margin outside SPEC §2's 20% cap in the other direction.</w:t>
            </w:r>
          </w:p>
        </w:tc>
      </w:tr>
    </w:tbl>
    <w:p/>
    <w:p>
      <w:pPr>
        <w:pStyle w:val="Heading2"/>
        <w:spacing w:after="120" w:before="240"/>
      </w:pPr>
      <w:r>
        <w:t xml:space="preserve">Appendix D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40 ft High-Cube dry container internal volume</w:t>
            </w:r>
          </w:p>
        </w:tc>
        <w:tc>
          <w:tcPr>
            <w:tcW w:type="dxa" w:w="1500"/>
          </w:tcPr>
          <w:p>
            <w:r>
              <w:t xml:space="preserve">2,683 cu ft (≈76 m³)</w:t>
            </w:r>
          </w:p>
        </w:tc>
        <w:tc>
          <w:tcPr>
            <w:tcW w:type="dxa" w:w="1500"/>
          </w:tcPr>
          <w:p>
            <w:r>
              <w:t xml:space="preserve">bws.net — </w:t>
            </w:r>
            <w:hyperlink w:history="1" r:id="rIdpnte6jnalqm841pgtiiqc">
              <w:r>
                <w:rPr>
                  <w:rStyle w:val="Hyperlink"/>
                </w:rPr>
                <w:t xml:space="preserve">40-foot dry high-cube container specifications</w:t>
              </w:r>
            </w:hyperlink>
          </w:p>
        </w:tc>
        <w:tc>
          <w:tcPr>
            <w:tcW w:type="dxa" w:w="1500"/>
          </w:tcPr>
          <w:p>
            <w:r>
              <w:t xml:space="preserve">accessed 2026-08-27</w:t>
            </w:r>
          </w:p>
        </w:tc>
        <w:tc>
          <w:tcPr>
            <w:tcW w:type="dxa" w:w="1500"/>
          </w:tcPr>
          <w:p>
            <w:r>
              <w:t xml:space="preserve">MEDIUM</w:t>
            </w:r>
          </w:p>
        </w:tc>
      </w:tr>
      <w:tr>
        <w:tc>
          <w:tcPr>
            <w:tcW w:type="dxa" w:w="1500"/>
          </w:tcPr>
          <w:p>
            <w:r>
              <w:t xml:space="preserve">S2</w:t>
            </w:r>
          </w:p>
        </w:tc>
        <w:tc>
          <w:tcPr>
            <w:tcW w:type="dxa" w:w="1500"/>
          </w:tcPr>
          <w:p>
            <w:r>
              <w:t xml:space="preserve">Freightos Baltic Index (FBX) Global Container Index, current spot rate</w:t>
            </w:r>
          </w:p>
        </w:tc>
        <w:tc>
          <w:tcPr>
            <w:tcW w:type="dxa" w:w="1500"/>
          </w:tcPr>
          <w:p>
            <w:r>
              <w:t xml:space="preserve">$3,570.80 per 40 ft container</w:t>
            </w:r>
          </w:p>
        </w:tc>
        <w:tc>
          <w:tcPr>
            <w:tcW w:type="dxa" w:w="1500"/>
          </w:tcPr>
          <w:p>
            <w:r>
              <w:t xml:space="preserve">Freightos — </w:t>
            </w:r>
            <w:hyperlink w:history="1" r:id="rId8hbdmdoeuezepy9mswj-f">
              <w:r>
                <w:rPr>
                  <w:rStyle w:val="Hyperlink"/>
                </w:rPr>
                <w:t xml:space="preserve">FBX Global Container Freight Index</w:t>
              </w:r>
            </w:hyperlink>
          </w:p>
        </w:tc>
        <w:tc>
          <w:tcPr>
            <w:tcW w:type="dxa" w:w="1500"/>
          </w:tcPr>
          <w:p>
            <w:r>
              <w:t xml:space="preserve">accessed 2026-08-27 (live daily index; no fixed as-of date shown on page)</w:t>
            </w:r>
          </w:p>
        </w:tc>
        <w:tc>
          <w:tcPr>
            <w:tcW w:type="dxa" w:w="1500"/>
          </w:tcPr>
          <w:p>
            <w:r>
              <w:t xml:space="preserve">MEDIUM</w:t>
            </w:r>
          </w:p>
        </w:tc>
      </w:tr>
      <w:tr>
        <w:tc>
          <w:tcPr>
            <w:tcW w:type="dxa" w:w="1500"/>
          </w:tcPr>
          <w:p>
            <w:r>
              <w:t xml:space="preserve">S3</w:t>
            </w:r>
          </w:p>
        </w:tc>
        <w:tc>
          <w:tcPr>
            <w:tcW w:type="dxa" w:w="1500"/>
          </w:tcPr>
          <w:p>
            <w:r>
              <w:t xml:space="preserve">ABS resin spot price, North America</w:t>
            </w:r>
          </w:p>
        </w:tc>
        <w:tc>
          <w:tcPr>
            <w:tcW w:type="dxa" w:w="1500"/>
          </w:tcPr>
          <w:p>
            <w:r>
              <w:t xml:space="preserve">≈$1.94/kg ≈ $0.88/lb</w:t>
            </w:r>
          </w:p>
        </w:tc>
        <w:tc>
          <w:tcPr>
            <w:tcW w:type="dxa" w:w="1500"/>
          </w:tcPr>
          <w:p>
            <w:r>
              <w:t xml:space="preserve">BusinessAnalytiq — </w:t>
            </w:r>
            <w:hyperlink w:history="1" r:id="rIdzcfgqcttqqi-btxqwicl7">
              <w:r>
                <w:rPr>
                  <w:rStyle w:val="Hyperlink"/>
                </w:rPr>
                <w:t xml:space="preserve">Acrylonitrile Butadiene Styrene (ABS) USA Price Index</w:t>
              </w:r>
            </w:hyperlink>
          </w:p>
        </w:tc>
        <w:tc>
          <w:tcPr>
            <w:tcW w:type="dxa" w:w="1500"/>
          </w:tcPr>
          <w:p>
            <w:r>
              <w:t xml:space="preserve">accessed 2026-08-27 (August 2026, live index; re-sourced after the prior citation stopped showing a USA figure)</w:t>
            </w:r>
          </w:p>
        </w:tc>
        <w:tc>
          <w:tcPr>
            <w:tcW w:type="dxa" w:w="1500"/>
          </w:tcPr>
          <w:p>
            <w:r>
              <w:t xml:space="preserve">MEDIUM</w:t>
            </w:r>
          </w:p>
        </w:tc>
      </w:tr>
      <w:tr>
        <w:tc>
          <w:tcPr>
            <w:tcW w:type="dxa" w:w="1500"/>
          </w:tcPr>
          <w:p>
            <w:r>
              <w:t xml:space="preserve">S4</w:t>
            </w:r>
          </w:p>
        </w:tc>
        <w:tc>
          <w:tcPr>
            <w:tcW w:type="dxa" w:w="1500"/>
          </w:tcPr>
          <w:p>
            <w:r>
              <w:t xml:space="preserve">ABS density</w:t>
            </w:r>
          </w:p>
        </w:tc>
        <w:tc>
          <w:tcPr>
            <w:tcW w:type="dxa" w:w="1500"/>
          </w:tcPr>
          <w:p>
            <w:r>
              <w:t xml:space="preserve">1.052 g/cm³ (≈0.038 lb/in³), extrusion grade</w:t>
            </w:r>
          </w:p>
        </w:tc>
        <w:tc>
          <w:tcPr>
            <w:tcW w:type="dxa" w:w="1500"/>
          </w:tcPr>
          <w:p>
            <w:r>
              <w:t xml:space="preserve">AmesWeb — </w:t>
            </w:r>
            <w:hyperlink w:history="1" r:id="rIdzu_2v0peeuivnvobh9y7y">
              <w:r>
                <w:rPr>
                  <w:rStyle w:val="Hyperlink"/>
                </w:rPr>
                <w:t xml:space="preserve">Density of Plastics and Polymers</w:t>
              </w:r>
            </w:hyperlink>
          </w:p>
        </w:tc>
        <w:tc>
          <w:tcPr>
            <w:tcW w:type="dxa" w:w="1500"/>
          </w:tcPr>
          <w:p>
            <w:r>
              <w:t xml:space="preserve">accessed 2026-08-27 (re-sourced after MatWeb returned HTTP 403 on re-fetch)</w:t>
            </w:r>
          </w:p>
        </w:tc>
        <w:tc>
          <w:tcPr>
            <w:tcW w:type="dxa" w:w="1500"/>
          </w:tcPr>
          <w:p>
            <w:r>
              <w:t xml:space="preserve">HIGH</w:t>
            </w:r>
          </w:p>
        </w:tc>
      </w:tr>
      <w:tr>
        <w:tc>
          <w:tcPr>
            <w:tcW w:type="dxa" w:w="1500"/>
          </w:tcPr>
          <w:p>
            <w:r>
              <w:t xml:space="preserve">S5</w:t>
            </w:r>
          </w:p>
        </w:tc>
        <w:tc>
          <w:tcPr>
            <w:tcW w:type="dxa" w:w="1500"/>
          </w:tcPr>
          <w:p>
            <w:r>
              <w:t xml:space="preserve">ABS recommended injection-molding wall thickness range</w:t>
            </w:r>
          </w:p>
        </w:tc>
        <w:tc>
          <w:tcPr>
            <w:tcW w:type="dxa" w:w="1500"/>
          </w:tcPr>
          <w:p>
            <w:r>
              <w:t xml:space="preserve">0.045–0.140 in</w:t>
            </w:r>
          </w:p>
        </w:tc>
        <w:tc>
          <w:tcPr>
            <w:tcW w:type="dxa" w:w="1500"/>
          </w:tcPr>
          <w:p>
            <w:r>
              <w:t xml:space="preserve">Protolabs — </w:t>
            </w:r>
            <w:hyperlink w:history="1" r:id="rIdenchc1ycyrcnovpjgmxgk">
              <w:r>
                <w:rPr>
                  <w:rStyle w:val="Hyperlink"/>
                </w:rPr>
                <w:t xml:space="preserve">Plastic Injection Molding Design Guidelines</w:t>
              </w:r>
            </w:hyperlink>
          </w:p>
        </w:tc>
        <w:tc>
          <w:tcPr>
            <w:tcW w:type="dxa" w:w="1500"/>
          </w:tcPr>
          <w:p>
            <w:r>
              <w:t xml:space="preserve">accessed 2026-08-27</w:t>
            </w:r>
          </w:p>
        </w:tc>
        <w:tc>
          <w:tcPr>
            <w:tcW w:type="dxa" w:w="1500"/>
          </w:tcPr>
          <w:p>
            <w:r>
              <w:t xml:space="preserve">HIGH</w:t>
            </w:r>
          </w:p>
        </w:tc>
      </w:tr>
      <w:tr>
        <w:tc>
          <w:tcPr>
            <w:tcW w:type="dxa" w:w="1500"/>
          </w:tcPr>
          <w:p>
            <w:r>
              <w:t xml:space="preserve">S6</w:t>
            </w:r>
          </w:p>
        </w:tc>
        <w:tc>
          <w:tcPr>
            <w:tcW w:type="dxa" w:w="1500"/>
          </w:tcPr>
          <w:p>
            <w:r>
              <w:t xml:space="preserve">Material cost per sq in of shell surface (derived from S3 × S4 × MA5)</w:t>
            </w:r>
          </w:p>
        </w:tc>
        <w:tc>
          <w:tcPr>
            <w:tcW w:type="dxa" w:w="1500"/>
          </w:tcPr>
          <w:p>
            <w:r>
              <w:t xml:space="preserve">$0.0031 per sq in</w:t>
            </w:r>
          </w:p>
        </w:tc>
        <w:tc>
          <w:tcPr>
            <w:tcW w:type="dxa" w:w="1500"/>
          </w:tcPr>
          <w:p>
            <w:r>
              <w:t xml:space="preserve">Derived: $0.88/lb × 0.038 lb/in³ × 0.0925 in ≈ $0.0031/in². Inputs S3, S4; wall thickness is MA5, a midpoint picked from S5's range. </w:t>
            </w:r>
            <w:r>
              <w:rPr>
                <w:rFonts w:ascii="Courier New" w:cs="Courier New" w:eastAsia="Courier New" w:hAnsi="Courier New"/>
              </w:rPr>
              <w:t xml:space="preserve">derived: true</w:t>
            </w:r>
          </w:p>
        </w:tc>
        <w:tc>
          <w:tcPr>
            <w:tcW w:type="dxa" w:w="1500"/>
          </w:tcPr>
          <w:p>
            <w:r>
              <w:t xml:space="preserve">accessed 2026-08-27</w:t>
            </w:r>
          </w:p>
        </w:tc>
        <w:tc>
          <w:tcPr>
            <w:tcW w:type="dxa" w:w="1500"/>
          </w:tcPr>
          <w:p>
            <w:r>
              <w:t xml:space="preserve">MEDIUM</w:t>
            </w:r>
          </w:p>
        </w:tc>
      </w:tr>
      <w:tr>
        <w:tc>
          <w:tcPr>
            <w:tcW w:type="dxa" w:w="1500"/>
          </w:tcPr>
          <w:p>
            <w:r>
              <w:t xml:space="preserve">S7</w:t>
            </w:r>
          </w:p>
        </w:tc>
        <w:tc>
          <w:tcPr>
            <w:tcW w:type="dxa" w:w="1500"/>
          </w:tcPr>
          <w:p>
            <w:r>
              <w:t xml:space="preserve">Injection-mold tooling cost benchmark for high-volume (10k+ unit, complex geometry) production, plus a 100k-unit worked example</w:t>
            </w:r>
          </w:p>
        </w:tc>
        <w:tc>
          <w:tcPr>
            <w:tcW w:type="dxa" w:w="1500"/>
          </w:tcPr>
          <w:p>
            <w:r>
              <w:t xml:space="preserve">$5,000–$100,000 (steel production tooling), plus a $20,000 example for a 100,000-unit steel mold</w:t>
            </w:r>
          </w:p>
        </w:tc>
        <w:tc>
          <w:tcPr>
            <w:tcW w:type="dxa" w:w="1500"/>
          </w:tcPr>
          <w:p>
            <w:r>
              <w:t xml:space="preserve">Formlabs — </w:t>
            </w:r>
            <w:hyperlink w:history="1" r:id="rIde17rr2-z7dc6ura8b9rph">
              <w:r>
                <w:rPr>
                  <w:rStyle w:val="Hyperlink"/>
                </w:rPr>
                <w:t xml:space="preserve">How to Estimate Injection Molding Cost</w:t>
              </w:r>
            </w:hyperlink>
          </w:p>
        </w:tc>
        <w:tc>
          <w:tcPr>
            <w:tcW w:type="dxa" w:w="1500"/>
          </w:tcPr>
          <w:p>
            <w:r>
              <w:t xml:space="preserve">accessed 2026-08-27 (re-verified; the page's own figures had drifted from the 2026-08-26 access)</w:t>
            </w:r>
          </w:p>
        </w:tc>
        <w:tc>
          <w:tcPr>
            <w:tcW w:type="dxa" w:w="1500"/>
          </w:tcPr>
          <w:p>
            <w:r>
              <w:t xml:space="preserve">MEDIUM</w:t>
            </w:r>
          </w:p>
        </w:tc>
      </w:tr>
      <w:tr>
        <w:tc>
          <w:tcPr>
            <w:tcW w:type="dxa" w:w="1500"/>
          </w:tcPr>
          <w:p>
            <w:r>
              <w:t xml:space="preserve">S8</w:t>
            </w:r>
          </w:p>
        </w:tc>
        <w:tc>
          <w:tcPr>
            <w:tcW w:type="dxa" w:w="1500"/>
          </w:tcPr>
          <w:p>
            <w:r>
              <w:t xml:space="preserve">Rectangular-carton / palletized-cargo container fill-rate guidance</w:t>
            </w:r>
          </w:p>
        </w:tc>
        <w:tc>
          <w:tcPr>
            <w:tcW w:type="dxa" w:w="1500"/>
          </w:tcPr>
          <w:p>
            <w:r>
              <w:t xml:space="preserve">Above 85% achievable in most cases; below 75% suggests a planning/calibration problem</w:t>
            </w:r>
          </w:p>
        </w:tc>
        <w:tc>
          <w:tcPr>
            <w:tcW w:type="dxa" w:w="1500"/>
          </w:tcPr>
          <w:p>
            <w:r>
              <w:t xml:space="preserve">3dloadcalculator.com — </w:t>
            </w:r>
            <w:hyperlink w:history="1" r:id="rId0_cbsqntxjuxr6mpbzga_">
              <w:r>
                <w:rPr>
                  <w:rStyle w:val="Hyperlink"/>
                </w:rPr>
                <w:t xml:space="preserve">Container Utilization: The Cost Hiding in Plain Sight</w:t>
              </w:r>
            </w:hyperlink>
          </w:p>
        </w:tc>
        <w:tc>
          <w:tcPr>
            <w:tcW w:type="dxa" w:w="1500"/>
          </w:tcPr>
          <w:p>
            <w:r>
              <w:t xml:space="preserve">accessed 2026-08-27 (re-verified; the DHL-study attribution is no longer on the page)</w:t>
            </w:r>
          </w:p>
        </w:tc>
        <w:tc>
          <w:tcPr>
            <w:tcW w:type="dxa" w:w="1500"/>
          </w:tcPr>
          <w:p>
            <w:r>
              <w:t xml:space="preserve">MEDIUM</w:t>
            </w:r>
          </w:p>
        </w:tc>
      </w:tr>
      <w:tr>
        <w:tc>
          <w:tcPr>
            <w:tcW w:type="dxa" w:w="1500"/>
          </w:tcPr>
          <w:p>
            <w:r>
              <w:t xml:space="preserve">S9</w:t>
            </w:r>
          </w:p>
        </w:tc>
        <w:tc>
          <w:tcPr>
            <w:tcW w:type="dxa" w:w="1500"/>
          </w:tcPr>
          <w:p>
            <w:r>
              <w:t xml:space="preserve">PC/ABS blend is a common material for consumer-electronics and speaker enclosures</w:t>
            </w:r>
          </w:p>
        </w:tc>
        <w:tc>
          <w:tcPr>
            <w:tcW w:type="dxa" w:w="1500"/>
          </w:tcPr>
          <w:p>
            <w:r>
              <w:t xml:space="preserve">— (qualitative precedent)</w:t>
            </w:r>
          </w:p>
        </w:tc>
        <w:tc>
          <w:tcPr>
            <w:tcW w:type="dxa" w:w="1500"/>
          </w:tcPr>
          <w:p>
            <w:r>
              <w:t xml:space="preserve">audioXpress — </w:t>
            </w:r>
            <w:hyperlink w:history="1" r:id="rId6-_gxrs2mlp9yd9g1kxxg">
              <w:r>
                <w:rPr>
                  <w:rStyle w:val="Hyperlink"/>
                </w:rPr>
                <w:t xml:space="preserve">Some Thoughts on Plastics for Speaker Enclosures</w:t>
              </w:r>
            </w:hyperlink>
            <w:r>
              <w:t xml:space="preserve">; Canyon Components — </w:t>
            </w:r>
            <w:hyperlink w:history="1" r:id="rIdahygylfcgcelwban8t5f7">
              <w:r>
                <w:rPr>
                  <w:rStyle w:val="Hyperlink"/>
                </w:rPr>
                <w:t xml:space="preserve">PC/ABS Selection Guide</w:t>
              </w:r>
            </w:hyperlink>
          </w:p>
        </w:tc>
        <w:tc>
          <w:tcPr>
            <w:tcW w:type="dxa" w:w="1500"/>
          </w:tcPr>
          <w:p>
            <w:r>
              <w:t xml:space="preserve">accessed 2026-08-27</w:t>
            </w:r>
          </w:p>
        </w:tc>
        <w:tc>
          <w:tcPr>
            <w:tcW w:type="dxa" w:w="1500"/>
          </w:tcPr>
          <w:p>
            <w:r>
              <w:t xml:space="preserve">MEDIUM</w:t>
            </w:r>
          </w:p>
        </w:tc>
      </w:tr>
    </w:tbl>
    <w:p/>
    <w:p>
      <w:r>
        <w:t xml:space="preserve">Project Orb's ≈74.05% packing-efficiency figure (Appendix C) is the Kepler conjecture's proven sphere-packing ceiling and needs no market-data citation — see the note under Appendix C.</w:t>
      </w:r>
    </w:p>
    <w:p>
      <w:pPr>
        <w:pStyle w:val="Heading2"/>
        <w:spacing w:after="120" w:before="240"/>
      </w:pPr>
      <w:r>
        <w:t xml:space="preserve">Appendix E — "How To…" Math Questions To Research</w:t>
      </w:r>
    </w:p>
    <w:p>
      <w:r>
        <w:rPr>
          <w:b/>
          <w:bCs/>
        </w:rPr>
        <w:t xml:space="preserve">Vocabulary terms</w:t>
      </w:r>
    </w:p>
    <w:p>
      <w:pPr>
        <w:ind w:left="360"/>
      </w:pPr>
      <w:r>
        <w:t xml:space="preserve">- Cone</w:t>
      </w:r>
    </w:p>
    <w:p>
      <w:pPr>
        <w:ind w:left="360"/>
      </w:pPr>
      <w:r>
        <w:t xml:space="preserve">- Sphere</w:t>
      </w:r>
    </w:p>
    <w:p>
      <w:pPr>
        <w:ind w:left="360"/>
      </w:pPr>
      <w:r>
        <w:t xml:space="preserve">- 3-Dimensional</w:t>
      </w:r>
    </w:p>
    <w:p>
      <w:pPr>
        <w:ind w:left="360"/>
      </w:pPr>
      <w:r>
        <w:t xml:space="preserve">- Surface Area</w:t>
      </w:r>
    </w:p>
    <w:p>
      <w:pPr>
        <w:ind w:left="360"/>
      </w:pPr>
      <w:r>
        <w:t xml:space="preserve">- Radius</w:t>
      </w:r>
    </w:p>
    <w:p>
      <w:pPr>
        <w:ind w:left="360"/>
      </w:pPr>
      <w:r>
        <w:t xml:space="preserve">- Pi</w:t>
      </w:r>
    </w:p>
    <w:p>
      <w:pPr>
        <w:ind w:left="360"/>
      </w:pPr>
      <w:r>
        <w:t xml:space="preserve">- Percent</w:t>
      </w:r>
    </w:p>
    <w:p>
      <w:r>
        <w:rPr>
          <w:b/>
          <w:bCs/>
        </w:rPr>
        <w:t xml:space="preserve">"How to…" questions</w:t>
      </w:r>
    </w:p>
    <w:p>
      <w:pPr>
        <w:ind w:left="360"/>
      </w:pPr>
      <w:r>
        <w:t xml:space="preserve">- How to name a 3-D shape</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nte6jnalqm841pgtiiqc" Type="http://schemas.openxmlformats.org/officeDocument/2006/relationships/hyperlink" Target="https://www.bws.net/toolbox/container-specifications/40-foot-dry-high-cube" TargetMode="External"/><Relationship Id="rId8hbdmdoeuezepy9mswj-f" Type="http://schemas.openxmlformats.org/officeDocument/2006/relationships/hyperlink" Target="https://www.freightos.com/enterprise/terminal/freightos-baltic-index-global-container-pricing-index/" TargetMode="External"/><Relationship Id="rIdzcfgqcttqqi-btxqwicl7" Type="http://schemas.openxmlformats.org/officeDocument/2006/relationships/hyperlink" Target="https://businessanalytiq.com/procurementanalytics/index/acrylonitrile-butadiene-styrene-abs-usa-price-index-2/" TargetMode="External"/><Relationship Id="rIdzu_2v0peeuivnvobh9y7y" Type="http://schemas.openxmlformats.org/officeDocument/2006/relationships/hyperlink" Target="https://amesweb.info/Materials/Density-of-Plastics.aspx" TargetMode="External"/><Relationship Id="rIdenchc1ycyrcnovpjgmxgk" Type="http://schemas.openxmlformats.org/officeDocument/2006/relationships/hyperlink" Target="https://www.protolabs.com/services/injection-molding/plastic-injection-molding/design-guidelines/" TargetMode="External"/><Relationship Id="rIde17rr2-z7dc6ura8b9rph" Type="http://schemas.openxmlformats.org/officeDocument/2006/relationships/hyperlink" Target="https://formlabs.com/blog/injection-molding-cost/" TargetMode="External"/><Relationship Id="rId0_cbsqntxjuxr6mpbzga_" Type="http://schemas.openxmlformats.org/officeDocument/2006/relationships/hyperlink" Target="https://3dloadcalculator.com/blog/container-utilization-the-cost-hiding-in-plain-sight/" TargetMode="External"/><Relationship Id="rId6-_gxrs2mlp9yd9g1kxxg" Type="http://schemas.openxmlformats.org/officeDocument/2006/relationships/hyperlink" Target="https://audioxpress.com/article/some-thoughts-on-plastics-for-speaker-enclosures" TargetMode="External"/><Relationship Id="rIdahygylfcgcelwban8t5f7" Type="http://schemas.openxmlformats.org/officeDocument/2006/relationships/hyperlink" Target="https://www.canyoncomponents.com/materialpages/pc-abs-polycarbonate-acrylonitrile-butadiene-styren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2026-08-27T23:41:04.912Z</dcterms:created>
  <dcterms:modified xsi:type="dcterms:W3CDTF">2026-08-27T23:41:04.916Z</dcterms:modified>
</cp:coreProperties>
</file>

<file path=docProps/custom.xml><?xml version="1.0" encoding="utf-8"?>
<Properties xmlns="http://schemas.openxmlformats.org/officeDocument/2006/custom-properties" xmlns:vt="http://schemas.openxmlformats.org/officeDocument/2006/docPropsVTypes"/>
</file>