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Facilitator Guide: Fret Board</w:t>
      </w:r>
    </w:p>
    <w:p>
      <w:pPr>
        <w:spacing w:after="60"/>
        <w:jc w:val="center"/>
      </w:pPr>
      <w:r>
        <w:rPr>
          <w:rFonts w:ascii="Calibri" w:cs="Calibri" w:eastAsia="Calibri" w:hAnsi="Calibri"/>
          <w:b/>
          <w:bCs/>
          <w:color w:val="C00000"/>
          <w:sz w:val="24"/>
          <w:szCs w:val="24"/>
        </w:rPr>
        <w:t xml:space="preserve">FACILITATOR-ONLY — DO NOT DISTRIBUTE TO STUDENTS</w:t>
      </w:r>
    </w:p>
    <w:p>
      <w:pPr>
        <w:spacing w:after="400"/>
        <w:jc w:val="center"/>
      </w:pPr>
      <w:r>
        <w:rPr>
          <w:rFonts w:ascii="Calibri" w:cs="Calibri" w:eastAsia="Calibri" w:hAnsi="Calibri"/>
          <w:i/>
          <w:iCs/>
          <w:sz w:val="20"/>
          <w:szCs w:val="20"/>
        </w:rPr>
        <w:t xml:space="preserve">MS | Math | Case Study | 2026-27 | Heroes Academy — Case: Fret Board · Tier: T2 · Band: MS-core · Studio: MS Adventure</w:t>
      </w:r>
    </w:p>
    <w:p>
      <w:pPr>
        <w:pStyle w:val="Heading1"/>
        <w:spacing w:after="160" w:before="300"/>
      </w:pPr>
      <w:r>
        <w:rPr>
          <w:rFonts w:ascii="Calibri" w:cs="Calibri" w:eastAsia="Calibri" w:hAnsi="Calibri"/>
          <w:b/>
          <w:bCs/>
        </w:rPr>
        <w:t xml:space="preserve">Publish-Time Run-of-Show (read this first)</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Case: </w:t>
      </w:r>
      <w:r>
        <w:rPr>
          <w:rFonts w:ascii="Calibri" w:cs="Calibri" w:eastAsia="Calibri" w:hAnsi="Calibri"/>
          <w:sz w:val="22"/>
          <w:szCs w:val="22"/>
        </w:rPr>
        <w:t xml:space="preserve">Fret Board — an apprentice luthier deciding between the exact Precision Method and the traditional Rule of Eighteen for marking fret positions on a guitar neck.</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The two arguments and the margin (4.2%):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Argument A (Precision Method). </w:t>
      </w:r>
      <w:r>
        <w:rPr>
          <w:rFonts w:ascii="Calibri" w:cs="Calibri" w:eastAsia="Calibri" w:hAnsi="Calibri"/>
          <w:sz w:val="22"/>
          <w:szCs w:val="22"/>
        </w:rPr>
        <w:t xml:space="preserve">Even though the Precision Method's per-fret arithmetic takes a little longer to work out by hand (evaluating a fractional twelfth-root-of-two exponent on a scientific calculator has more keystrokes and more chance of a keying slip than simple division), that calculation time is a small fraction of the total job once the shared, method-independent time to cut, install, and dress all 22 frets is counted (Appendix F). The Precision Method is also exact by construction at fret 12 — it lands exactly at half the scale length, matching true equal temperament with zero drift, with zero re-fret risk regardless of what the tolerance line turns out to be.</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Argument B (Rule of Eighteen). </w:t>
      </w:r>
      <w:r>
        <w:rPr>
          <w:rFonts w:ascii="Calibri" w:cs="Calibri" w:eastAsia="Calibri" w:hAnsi="Calibri"/>
          <w:sz w:val="22"/>
          <w:szCs w:val="22"/>
        </w:rPr>
        <w:t xml:space="preserve">The Rule of Eighteen's simpler iterative arithmetic (repeated division and running subtraction, the same shortcut proportional dividers were built to avoid doing by hand) computes faster per fret, and it is the method generations of working luthiers actually used on instruments that intonated well enough to play professionally. Its total shop time across all 22 frets is measurably lower than the Precision Method's. The tradeoff is a known, named accuracy cost — about 12.5 cents flat at fret 12, roughly 2.5x the stated MA1 tolerance — disclosed and quantified in Appendix D, not hidden.</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Margin basis (per Appendix F / case.json.balance): </w:t>
      </w:r>
      <w:r>
        <w:rPr>
          <w:rFonts w:ascii="Calibri" w:cs="Calibri" w:eastAsia="Calibri" w:hAnsi="Calibri"/>
          <w:sz w:val="22"/>
          <w:szCs w:val="22"/>
        </w:rPr>
        <w:t xml:space="preserve">total shop time in minutes = shared, method-independent baseline (MA6, 45 min, to cut/install/dress all 22 frets) + each method's own per-fret calculation time (MA4 for A, MA5 for B) x 22 frets. Precision Method ≈ 52.33 min; Rule of Eighteen ≈ 50.13 min. margin_pct = 100 × (52.33 − 50.13) / 52.33 = 4.2%. This margin is thin: a ±50% swing in MA4 (down to ~10s) or MA5 (up to ~21s) flips the winner from B to A. MA6 does not flip it at either bound.</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Six Socratic questions: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1. D3 cents-of-deviation: bigger or smaller than expected, and why did the Rule of Eighteen survive as a real shop method for so long?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2. Does the Rule of Eighteen's drift cross the tolerance line exactly at fret 12, or could it cross earlier/later — why does the primary metric only ask about fret 12?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3. D4 shows none of frets 1–5 reduce to a simple whole-number ratio, while fret 12 reduces exactly to 2:1 — what does a "nice" ratio correspond to, and why is the octave the one guaranteed spot?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4. Total shop time is close (Appendix F) while accuracy is not (Appendix D) — which number should actually drive Yuki's recommendation, and why doesn't "close on time" settle it alone?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5. Why would a trade keep the rounded nickname "Rule of Eighteen" for over a century instead of correcting it to the more precise 17.817154 divisor some shops actually use (Appendix G, S2)?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sz w:val="22"/>
          <w:szCs w:val="22"/>
        </w:rPr>
        <w:t xml:space="preserve">6. MA4/MA5 are Yuki's own unmeasured guesses; if either is off by 5–6 seconds, the total-shop-time winner flips. Should a recommendation built on a margin this thin lean more heavily on the accuracy gap instead — and how thin does a margin have to get before you stop trusting it? </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The trap: </w:t>
      </w:r>
      <w:r>
        <w:rPr>
          <w:rFonts w:ascii="Calibri" w:cs="Calibri" w:eastAsia="Calibri" w:hAnsi="Calibri"/>
          <w:sz w:val="22"/>
          <w:szCs w:val="22"/>
        </w:rPr>
        <w:t xml:space="preserve">Heroes eyeball the Rule of Eighteen's fret positions, see they're close to the Precision Method's in inches, and declare the methods equivalent without ever running the D3 cents conversion — missing that cents is a logarithmic (multiplicative) scale, not a linear one, so a length difference that looks tiny in inches can still represent a musically nameable pitch gap. The case forces D3 specifically so no one can skip from "the numbers look close" to "the methods are equivalent."</w:t>
      </w:r>
    </w:p>
    <w:p>
      <w:pPr>
        <w:pBdr>
          <w:top w:val="single" w:color="BF8F00" w:sz="6"/>
          <w:bottom w:val="single" w:color="BF8F00" w:sz="6"/>
          <w:left w:val="single" w:color="BF8F00" w:sz="6"/>
          <w:right w:val="single" w:color="BF8F00" w:sz="6"/>
        </w:pBdr>
        <w:shd w:fill="FFF2CC" w:color="auto" w:val="clear"/>
        <w:spacing w:after="120"/>
      </w:pPr>
      <w:r>
        <w:rPr>
          <w:rFonts w:ascii="Calibri" w:cs="Calibri" w:eastAsia="Calibri" w:hAnsi="Calibri"/>
          <w:b/>
          <w:bCs/>
          <w:sz w:val="22"/>
          <w:szCs w:val="22"/>
        </w:rPr>
        <w:t xml:space="preserve">SPEC §6 sensitivity note: </w:t>
      </w:r>
      <w:r>
        <w:rPr>
          <w:rFonts w:ascii="Calibri" w:cs="Calibri" w:eastAsia="Calibri" w:hAnsi="Calibri"/>
          <w:sz w:val="22"/>
          <w:szCs w:val="22"/>
        </w:rPr>
        <w:t xml:space="preserve">None required — the stakes here are a first solo job, a client deadline, and a shop cost, not personal loss, illness, or hardship. case.json.sensitivity_note is null for the same reason. (This is distinct from the assumption-sensitivity note on MA4/MA5 below, which is about numeric fragility, not emotionally sensitive subject matter.)</w:t>
      </w:r>
    </w:p>
    <w:p>
      <w:pPr>
        <w:pStyle w:val="Heading2"/>
        <w:spacing w:after="160" w:before="300"/>
      </w:pPr>
      <w:r>
        <w:rPr>
          <w:rFonts w:ascii="Calibri" w:cs="Calibri" w:eastAsia="Calibri" w:hAnsi="Calibri"/>
          <w:b/>
          <w:bCs/>
        </w:rPr>
        <w:t xml:space="preserve">What a Strong Defense Sounds Like</w:t>
      </w:r>
    </w:p>
    <w:p>
      <w:pPr>
        <w:spacing w:after="160"/>
      </w:pPr>
      <w:r>
        <w:rPr>
          <w:rFonts w:ascii="Calibri" w:cs="Calibri" w:eastAsia="Calibri" w:hAnsi="Calibri"/>
          <w:sz w:val="22"/>
          <w:szCs w:val="22"/>
        </w:rPr>
        <w:t xml:space="preserve">This case has no single right answer — do not grade toward "A" or "B." A strong defense, for either option, walks the full chain of reasoning rather than stopping at a gut read: it works D1–D4 correctly, converts the D1/D2 length gap into cents rather than eyeballing the raw inches, weighs that cents figure against the stated MA1 tolerance and the week-long re-fret cost, and only then states a recommendation that acknowledges what it is trading off — either "the exactness is worth the small extra time" or "the shop-time savings are worth a known, bounded accuracy cost, especially given downstream bridge compensation." A strong defense also names, unprompted or when pressed, that the total-shop-time margin (4.2%) rests on two unmeasured Modeling Assumptions (MA4/MA5) and treats that thinness as relevant to how much weight the time comparison should carry, rather than presenting 4.2% as a settled fact. A weak defense declares the numbers "basically the same" without running the cents conversion, or picks a side purely on which sticky note "sounds more careful."</w:t>
      </w:r>
    </w:p>
    <w:p>
      <w:pPr>
        <w:pStyle w:val="Heading2"/>
        <w:spacing w:after="160" w:before="300"/>
      </w:pPr>
      <w:r>
        <w:rPr>
          <w:rFonts w:ascii="Calibri" w:cs="Calibri" w:eastAsia="Calibri" w:hAnsi="Calibri"/>
          <w:b/>
          <w:bCs/>
        </w:rPr>
        <w:t xml:space="preserve">Skills This Case Exercises</w:t>
      </w:r>
    </w:p>
    <w:p>
      <w:pPr>
        <w:spacing w:after="160"/>
      </w:pPr>
      <w:r>
        <w:rPr>
          <w:rFonts w:ascii="Calibri" w:cs="Calibri" w:eastAsia="Calibri" w:hAnsi="Calibri"/>
          <w:sz w:val="22"/>
          <w:szCs w:val="22"/>
        </w:rPr>
        <w:t xml:space="preserve">For debrief: name these explicitly when a Hero demonstrates them.</w:t>
      </w:r>
    </w:p>
    <w:p>
      <w:pPr>
        <w:pStyle w:val="ListParagraph"/>
        <w:numPr>
          <w:ilvl w:val="0"/>
          <w:numId w:val="2"/>
        </w:numPr>
        <w:spacing w:after="80"/>
      </w:pPr>
      <w:r>
        <w:rPr>
          <w:rFonts w:ascii="Calibri" w:cs="Calibri" w:eastAsia="Calibri" w:hAnsi="Calibri"/>
          <w:sz w:val="22"/>
          <w:szCs w:val="22"/>
        </w:rPr>
        <w:t xml:space="preserve">Greatest Common Factor</w:t>
      </w:r>
    </w:p>
    <w:p>
      <w:pPr>
        <w:pStyle w:val="ListParagraph"/>
        <w:numPr>
          <w:ilvl w:val="0"/>
          <w:numId w:val="2"/>
        </w:numPr>
        <w:spacing w:after="80"/>
      </w:pPr>
      <w:r>
        <w:rPr>
          <w:rFonts w:ascii="Calibri" w:cs="Calibri" w:eastAsia="Calibri" w:hAnsi="Calibri"/>
          <w:sz w:val="22"/>
          <w:szCs w:val="22"/>
        </w:rPr>
        <w:t xml:space="preserve">Factor</w:t>
      </w:r>
    </w:p>
    <w:p>
      <w:pPr>
        <w:pStyle w:val="ListParagraph"/>
        <w:numPr>
          <w:ilvl w:val="0"/>
          <w:numId w:val="2"/>
        </w:numPr>
        <w:spacing w:after="80"/>
      </w:pPr>
      <w:r>
        <w:rPr>
          <w:rFonts w:ascii="Calibri" w:cs="Calibri" w:eastAsia="Calibri" w:hAnsi="Calibri"/>
          <w:sz w:val="22"/>
          <w:szCs w:val="22"/>
        </w:rPr>
        <w:t xml:space="preserve">Exponent (also Power)</w:t>
      </w:r>
    </w:p>
    <w:p>
      <w:pPr>
        <w:pStyle w:val="ListParagraph"/>
        <w:numPr>
          <w:ilvl w:val="0"/>
          <w:numId w:val="2"/>
        </w:numPr>
        <w:spacing w:after="80"/>
      </w:pPr>
      <w:r>
        <w:rPr>
          <w:rFonts w:ascii="Calibri" w:cs="Calibri" w:eastAsia="Calibri" w:hAnsi="Calibri"/>
          <w:sz w:val="22"/>
          <w:szCs w:val="22"/>
        </w:rPr>
        <w:t xml:space="preserve">Ratio</w:t>
      </w:r>
    </w:p>
    <w:p>
      <w:r>
        <w:br w:type="page"/>
      </w:r>
    </w:p>
    <w:p>
      <w:pPr>
        <w:pStyle w:val="Heading1"/>
        <w:spacing w:after="160" w:before="300"/>
      </w:pPr>
      <w:r>
        <w:rPr>
          <w:rFonts w:ascii="Calibri" w:cs="Calibri" w:eastAsia="Calibri" w:hAnsi="Calibri"/>
          <w:b/>
          <w:bCs/>
        </w:rPr>
        <w:t xml:space="preserve">Guide Notes</w:t>
      </w:r>
    </w:p>
    <w:p>
      <w:pPr>
        <w:spacing w:after="160"/>
      </w:pPr>
      <w:r>
        <w:rPr>
          <w:rFonts w:ascii="Calibri" w:cs="Calibri" w:eastAsia="Calibri" w:hAnsi="Calibri"/>
          <w:b/>
          <w:bCs/>
          <w:sz w:val="22"/>
          <w:szCs w:val="22"/>
        </w:rPr>
        <w:t xml:space="preserve">Case: </w:t>
      </w:r>
      <w:r>
        <w:rPr>
          <w:rFonts w:ascii="Calibri" w:cs="Calibri" w:eastAsia="Calibri" w:hAnsi="Calibri"/>
          <w:sz w:val="22"/>
          <w:szCs w:val="22"/>
        </w:rPr>
        <w:t xml:space="preserve">Fret Board · </w:t>
      </w:r>
      <w:r>
        <w:rPr>
          <w:rFonts w:ascii="Calibri" w:cs="Calibri" w:eastAsia="Calibri" w:hAnsi="Calibri"/>
          <w:b/>
          <w:bCs/>
          <w:sz w:val="22"/>
          <w:szCs w:val="22"/>
        </w:rPr>
        <w:t xml:space="preserve">Tier: </w:t>
      </w:r>
      <w:r>
        <w:rPr>
          <w:rFonts w:ascii="Calibri" w:cs="Calibri" w:eastAsia="Calibri" w:hAnsi="Calibri"/>
          <w:sz w:val="22"/>
          <w:szCs w:val="22"/>
        </w:rPr>
        <w:t xml:space="preserve">T2 · </w:t>
      </w:r>
      <w:r>
        <w:rPr>
          <w:rFonts w:ascii="Calibri" w:cs="Calibri" w:eastAsia="Calibri" w:hAnsi="Calibri"/>
          <w:b/>
          <w:bCs/>
          <w:sz w:val="22"/>
          <w:szCs w:val="22"/>
        </w:rPr>
        <w:t xml:space="preserve">Band: </w:t>
      </w:r>
      <w:r>
        <w:rPr>
          <w:rFonts w:ascii="Calibri" w:cs="Calibri" w:eastAsia="Calibri" w:hAnsi="Calibri"/>
          <w:sz w:val="22"/>
          <w:szCs w:val="22"/>
        </w:rPr>
        <w:t xml:space="preserve">MS-core · </w:t>
      </w:r>
      <w:r>
        <w:rPr>
          <w:rFonts w:ascii="Calibri" w:cs="Calibri" w:eastAsia="Calibri" w:hAnsi="Calibri"/>
          <w:b/>
          <w:bCs/>
          <w:sz w:val="22"/>
          <w:szCs w:val="22"/>
        </w:rPr>
        <w:t xml:space="preserve">Studio: </w:t>
      </w:r>
      <w:r>
        <w:rPr>
          <w:rFonts w:ascii="Calibri" w:cs="Calibri" w:eastAsia="Calibri" w:hAnsi="Calibri"/>
          <w:sz w:val="22"/>
          <w:szCs w:val="22"/>
        </w:rPr>
        <w:t xml:space="preserve">MS Adventure</w:t>
      </w:r>
    </w:p>
    <w:p>
      <w:pPr>
        <w:spacing w:after="160"/>
      </w:pPr>
      <w:r>
        <w:rPr>
          <w:rFonts w:ascii="Calibri" w:cs="Calibri" w:eastAsia="Calibri" w:hAnsi="Calibri"/>
          <w:sz w:val="22"/>
          <w:szCs w:val="22"/>
        </w:rPr>
        <w:t xml:space="preserve">Standards: Basic Operations (Factoring) / Advanced Operations (Exponents) / Measurement (Ratios) / Number Sense (Comparisons) — see case.json.standards[] for the exact ids; this is a domain-opening case for music-acoustics, not a new-skill-coverage case (see case.json.reinforcement_note).</w:t>
      </w:r>
    </w:p>
    <w:p>
      <w:pPr>
        <w:spacing w:after="160"/>
      </w:pPr>
      <w:r>
        <w:rPr>
          <w:rFonts w:ascii="Calibri" w:cs="Calibri" w:eastAsia="Calibri" w:hAnsi="Calibri"/>
          <w:sz w:val="22"/>
          <w:szCs w:val="22"/>
        </w:rPr>
        <w:t xml:space="preserve">Researched 2026-08-24 (RESEARCH_LOG.md, all placeholders resolved). Retuned 2026-08-27 — read this before you facilitate. The case's primary graded metric is now total shop time, in minutes, to calculate/mark/cut all 22 frets (Appendix F), not raw cents-of-deviation. On total shop time, Option A (Precision Method) and Option B (Rule of Eighteen) sit close — a margin_pct of 4.2%, well inside the SPEC §2 ~20% cap — because the shared, method-independent time to cut, install, and dress the frets (MA6, 45 minutes) dwarfs the small per-fret calculation-time gap between the two methods (MA4/MA5). This replaced the original primary metric (cents of deviation at fret 12), which the 2026-08-26 case-readiness run correctly flagged as structurally unbalanceable at 100% margin: Option A is exact by construction at every fret, not just fret 12, so no honest reframing within pure accuracy could ever produce a close race — see case.json.balance.margin_note for the full history and the math showing why an earlier-fret regrade specifically does not work. The ~12.5-cent / 150%-tolerance-overshoot accuracy gap for Option B is still real, still sourced-derived, and still fully disclosed (Appendix D, case.json.derived.accuracy_cost_context) — it is simply no longer what margin_pct is computed from. The Socratic discussion below is built so the room's real tension is a genuinely close time race (Option A vs. Option B) against a known, named, much larger accuracy cost for Option B — not a coin-flip on accuracy, and not a landslide on time either.</w:t>
      </w:r>
    </w:p>
    <w:p>
      <w:pPr>
        <w:spacing w:after="160"/>
      </w:pPr>
      <w:r>
        <w:rPr>
          <w:rFonts w:ascii="Calibri" w:cs="Calibri" w:eastAsia="Calibri" w:hAnsi="Calibri"/>
          <w:sz w:val="22"/>
          <w:szCs w:val="22"/>
        </w:rPr>
        <w:t xml:space="preserve">Corrected 2026-08-27 (Tier 2 probe P5): the 4.2% time margin is genuinely thin, not just "close." MA4/MA5 (the per-fret calculation-time estimates behind Appendix F) are stated Modeling Assumptions, not measured facts — and a ~50% swing in either one flips which method wins on total shop time: MA4 (Precision Method, 20s/fret) running about 10 seconds instead, or MA5 (Rule of Eighteen, 14s/fret) running about 21 seconds instead, each flip the recommended-by-the-metric winner from B to A. (MA6, the 45-minute shared baseline, does not flip it at either bound.) A prior version of this guide's balance note claimed the margin was "robust" to MA4/MA5 because doubling MA4 alone only pushed the margin to ~16% — that check was real but tested only the widening direction; it never tested the narrowing direction a ±50% sensitivity sweep requires. This is now disclosed, not eliminated, in case.json.sensitivity_disclosure[] and in case.md's Modeling Assumptions table. It is good material, not a flaw to hide: see the new sensitivity thread in "Deep conflict" and Socratic question 6 below.</w:t>
      </w:r>
    </w:p>
    <w:p>
      <w:pPr>
        <w:pStyle w:val="Heading2"/>
        <w:spacing w:after="160" w:before="300"/>
      </w:pPr>
      <w:r>
        <w:rPr>
          <w:rFonts w:ascii="Calibri" w:cs="Calibri" w:eastAsia="Calibri" w:hAnsi="Calibri"/>
          <w:b/>
          <w:bCs/>
        </w:rPr>
        <w:t xml:space="preserve">Intro</w:t>
      </w:r>
    </w:p>
    <w:p>
      <w:pPr>
        <w:spacing w:after="160"/>
      </w:pPr>
      <w:r>
        <w:rPr>
          <w:rFonts w:ascii="Calibri" w:cs="Calibri" w:eastAsia="Calibri" w:hAnsi="Calibri"/>
          <w:sz w:val="22"/>
          <w:szCs w:val="22"/>
        </w:rPr>
        <w:t xml:space="preserve">Frame the format before anything else: this is a real shop decision with a client due back before the week is out, not a worksheet. Name the opener — "You are an apprentice luthier with one unsupervised fret job and a mentor who isn't here to check your work. Two sticky notes, two methods, one saw." Let the stakes land before moving to the Launch.</w:t>
      </w:r>
    </w:p>
    <w:p>
      <w:pPr>
        <w:pStyle w:val="Heading2"/>
        <w:spacing w:after="160" w:before="300"/>
      </w:pPr>
      <w:r>
        <w:rPr>
          <w:rFonts w:ascii="Calibri" w:cs="Calibri" w:eastAsia="Calibri" w:hAnsi="Calibri"/>
          <w:b/>
          <w:bCs/>
        </w:rPr>
        <w:t xml:space="preserve">Launch</w:t>
      </w:r>
    </w:p>
    <w:p>
      <w:pPr>
        <w:spacing w:after="160"/>
      </w:pPr>
      <w:r>
        <w:rPr>
          <w:rFonts w:ascii="Calibri" w:cs="Calibri" w:eastAsia="Calibri" w:hAnsi="Calibri"/>
          <w:sz w:val="22"/>
          <w:szCs w:val="22"/>
        </w:rPr>
        <w:t xml:space="preserve">Show the two sticky notes from the Overview side by side — a column of four-decimal numbers under "exact," and a short column of whole-number divisions under "shop method" — with no explanation of which is which. Ask: "Which one do you think a working shop actually uses more often?" Do not confirm or correct answers here. Most rooms will assume "exact" must be right because it says so — that instinct is worth recording out loud before anyone touches a calculator.</w:t>
      </w:r>
    </w:p>
    <w:p>
      <w:pPr>
        <w:pStyle w:val="Heading2"/>
        <w:spacing w:after="160" w:before="300"/>
      </w:pPr>
      <w:r>
        <w:rPr>
          <w:rFonts w:ascii="Calibri" w:cs="Calibri" w:eastAsia="Calibri" w:hAnsi="Calibri"/>
          <w:b/>
          <w:bCs/>
        </w:rPr>
        <w:t xml:space="preserve">Anchor 1 — Take a stand and vote</w:t>
      </w:r>
    </w:p>
    <w:p>
      <w:pPr>
        <w:spacing w:after="160"/>
      </w:pPr>
      <w:r>
        <w:rPr>
          <w:rFonts w:ascii="Calibri" w:cs="Calibri" w:eastAsia="Calibri" w:hAnsi="Calibri"/>
          <w:b/>
          <w:bCs/>
          <w:sz w:val="22"/>
          <w:szCs w:val="22"/>
        </w:rPr>
        <w:t xml:space="preserve">TAKE A STAND AND VOTE. No reasoning yet, just commit.</w:t>
      </w:r>
    </w:p>
    <w:p>
      <w:pPr>
        <w:spacing w:after="160"/>
      </w:pPr>
      <w:r>
        <w:rPr>
          <w:rFonts w:ascii="Calibri" w:cs="Calibri" w:eastAsia="Calibri" w:hAnsi="Calibri"/>
          <w:sz w:val="22"/>
          <w:szCs w:val="22"/>
        </w:rPr>
        <w:t xml:space="preserve">"Is anyone courageous enough to stand with Yuki on the Rule of Eighteen — the shortcut, not the 'exact' one?" Show of hands, both options, no discussion. Record the count — Close will ask them to vote again.</w:t>
      </w:r>
    </w:p>
    <w:p>
      <w:pPr>
        <w:pStyle w:val="Heading2"/>
        <w:spacing w:after="160" w:before="300"/>
      </w:pPr>
      <w:r>
        <w:rPr>
          <w:rFonts w:ascii="Calibri" w:cs="Calibri" w:eastAsia="Calibri" w:hAnsi="Calibri"/>
          <w:b/>
          <w:bCs/>
        </w:rPr>
        <w:t xml:space="preserve">Anchor 2 — What is the problem we're solving?</w:t>
      </w:r>
    </w:p>
    <w:p>
      <w:pPr>
        <w:spacing w:after="160"/>
      </w:pPr>
      <w:r>
        <w:rPr>
          <w:rFonts w:ascii="Calibri" w:cs="Calibri" w:eastAsia="Calibri" w:hAnsi="Calibri"/>
          <w:b/>
          <w:bCs/>
          <w:sz w:val="22"/>
          <w:szCs w:val="22"/>
        </w:rPr>
        <w:t xml:space="preserve">"Is this the right question?" · "What do you mean by 'exact'?"</w:t>
      </w:r>
    </w:p>
    <w:p>
      <w:pPr>
        <w:spacing w:after="160"/>
      </w:pPr>
      <w:r>
        <w:rPr>
          <w:rFonts w:ascii="Calibri" w:cs="Calibri" w:eastAsia="Calibri" w:hAnsi="Calibri"/>
          <w:sz w:val="22"/>
          <w:szCs w:val="22"/>
        </w:rPr>
        <w:t xml:space="preserve">Let confusion grow here — this is deliberate. Heroes will want to jump straight to "which method is more accurate," but push on what "accurate enough" even means for a guitar: "A fret a thousandth of an inch off — does anyone's ear notice that? What would actually have to be true for it to matter?" If the room lands on "accuracy only matters relative to some tolerance a human can hear, not in the abstract" on its own, the case is working as designed.</w:t>
      </w:r>
    </w:p>
    <w:p>
      <w:pPr>
        <w:pStyle w:val="Heading2"/>
        <w:spacing w:after="160" w:before="300"/>
      </w:pPr>
      <w:r>
        <w:rPr>
          <w:rFonts w:ascii="Calibri" w:cs="Calibri" w:eastAsia="Calibri" w:hAnsi="Calibri"/>
          <w:b/>
          <w:bCs/>
        </w:rPr>
        <w:t xml:space="preserve">Anchor 3 — What is the process?</w:t>
      </w:r>
    </w:p>
    <w:p>
      <w:pPr>
        <w:spacing w:after="160"/>
      </w:pPr>
      <w:r>
        <w:rPr>
          <w:rFonts w:ascii="Calibri" w:cs="Calibri" w:eastAsia="Calibri" w:hAnsi="Calibri"/>
          <w:b/>
          <w:bCs/>
          <w:sz w:val="22"/>
          <w:szCs w:val="22"/>
        </w:rPr>
        <w:t xml:space="preserve">"If we go through this process and find the data, how will we decide?"</w:t>
      </w:r>
    </w:p>
    <w:p>
      <w:pPr>
        <w:spacing w:after="160"/>
      </w:pPr>
      <w:r>
        <w:rPr>
          <w:rFonts w:ascii="Calibri" w:cs="Calibri" w:eastAsia="Calibri" w:hAnsi="Calibri"/>
          <w:sz w:val="22"/>
          <w:szCs w:val="22"/>
        </w:rPr>
        <w:t xml:space="preserve">Once the room separates "which number is bigger" from "which drift is audible," ask them to name the actual steps before touching the appendices: build both fret-position tables (D1/D2), convert the difference between them at fret 12 into cents (D3), reduce a few open-to-fretted length ratios by their GCF to see which frets land on clean intervals (D4), and only then compare both the total-shop-time figures in Appendix F and the cents figure against the stated tolerance and the cost of being wrong (D5). Re-ask: "Is our question still the right one, now that we can see the steps?"</w:t>
      </w:r>
    </w:p>
    <w:p>
      <w:pPr>
        <w:pStyle w:val="Heading2"/>
        <w:spacing w:after="160" w:before="300"/>
      </w:pPr>
      <w:r>
        <w:rPr>
          <w:rFonts w:ascii="Calibri" w:cs="Calibri" w:eastAsia="Calibri" w:hAnsi="Calibri"/>
          <w:b/>
          <w:bCs/>
        </w:rPr>
        <w:t xml:space="preserve">Anchor 4 — What don't we know?</w:t>
      </w:r>
    </w:p>
    <w:p>
      <w:pPr>
        <w:spacing w:after="160"/>
      </w:pPr>
      <w:r>
        <w:rPr>
          <w:rFonts w:ascii="Calibri" w:cs="Calibri" w:eastAsia="Calibri" w:hAnsi="Calibri"/>
          <w:b/>
          <w:bCs/>
          <w:sz w:val="22"/>
          <w:szCs w:val="22"/>
        </w:rPr>
        <w:t xml:space="preserve">"Do we need to make assumptions? Which ones are critical?"</w:t>
      </w:r>
    </w:p>
    <w:p>
      <w:pPr>
        <w:spacing w:after="160"/>
      </w:pPr>
      <w:r>
        <w:rPr>
          <w:rFonts w:ascii="Calibri" w:cs="Calibri" w:eastAsia="Calibri" w:hAnsi="Calibri"/>
          <w:sz w:val="22"/>
          <w:szCs w:val="22"/>
        </w:rPr>
        <w:t xml:space="preserve">Surface the real gaps honestly: Appendix D's acceptable-intonation-tolerance figure (MA1, 5 cents) has no single hard published trade standard behind it — it's a stated mid-point of a range guitar techs and psychoacoustic research converge on. The fret count (MA2, 22) and the client's turnaround (MA3, 5 days) are also scenario choices, not published standards. Ask which one actually changes the graded D3 cents figure if it moves. The honest answer is none of them — the cents figure is pure geometry from Appendix B/C's lengths; MA1 only decides whether that number counts as acceptable, and MA2/MA3 don't enter the D1–D4 math at all. Let a sharp Hero find this themselves before confirming it.</w:t>
      </w:r>
    </w:p>
    <w:p>
      <w:pPr>
        <w:pStyle w:val="Heading2"/>
        <w:spacing w:after="160" w:before="300"/>
      </w:pPr>
      <w:r>
        <w:rPr>
          <w:rFonts w:ascii="Calibri" w:cs="Calibri" w:eastAsia="Calibri" w:hAnsi="Calibri"/>
          <w:b/>
          <w:bCs/>
        </w:rPr>
        <w:t xml:space="preserve">Data Deep Dive</w:t>
      </w:r>
    </w:p>
    <w:p>
      <w:pPr>
        <w:spacing w:after="160"/>
      </w:pPr>
      <w:r>
        <w:rPr>
          <w:rFonts w:ascii="Calibri" w:cs="Calibri" w:eastAsia="Calibri" w:hAnsi="Calibri"/>
          <w:sz w:val="22"/>
          <w:szCs w:val="22"/>
        </w:rPr>
        <w:t xml:space="preserve">Now, and only now, the numbers. Walk D1's exponent table, D2's ratio-shortcut table, D3's cents conversion, and D4's GCF reduction together as a room, cold-calling for D3 specifically — this is where a Hero who computed D1/D2 correctly but never ran the log-based cents formula will visibly struggle to explain why two very close-looking decimal lengths represent a real, nameable pitch gap. That struggle is useful information for the facilitator, not a moment to rescue.</w:t>
      </w:r>
    </w:p>
    <w:p>
      <w:pPr>
        <w:spacing w:after="160"/>
      </w:pPr>
      <w:r>
        <w:rPr>
          <w:rFonts w:ascii="Calibri" w:cs="Calibri" w:eastAsia="Calibri" w:hAnsi="Calibri"/>
          <w:b/>
          <w:bCs/>
          <w:sz w:val="22"/>
          <w:szCs w:val="22"/>
        </w:rPr>
        <w:t xml:space="preserve">Facilitator-only arithmetic note. </w:t>
      </w:r>
      <w:r>
        <w:rPr>
          <w:rFonts w:ascii="Calibri" w:cs="Calibri" w:eastAsia="Calibri" w:hAnsi="Calibri"/>
          <w:sz w:val="22"/>
          <w:szCs w:val="22"/>
        </w:rPr>
        <w:t xml:space="preserve">Precision Method fret 12 lands at exactly 12.7500 in (half of 25.5000 in, by construction of the 2:1 octave ratio). Rule of Eighteen fret 12 lands at 12.6573 in. Converting the remaining (bridge-side) length ratio (12.7500 : 12.8427) through cents = 3986.3 × log10(ratio) gives ≈ −12.5 cents — the Rule of Eighteen sits flat of true pitch, matching the qualitative "trends flat" finding in the sourced reference (Appendix G, [S3]). Frets 1–5's open:fretted ratios (Appendix E) reduce cleanly for none of them except the octave itself — worth naming as its own small discovery: equal temperament makes every fret before the 12th an irrational multiple of the open length, so a "nice" GCF reduction anywhere before the octave would be a rounding coincidence, not a real property of the method.</w:t>
      </w:r>
    </w:p>
    <w:p>
      <w:pPr>
        <w:pStyle w:val="Heading2"/>
        <w:spacing w:after="160" w:before="300"/>
      </w:pPr>
      <w:r>
        <w:rPr>
          <w:rFonts w:ascii="Calibri" w:cs="Calibri" w:eastAsia="Calibri" w:hAnsi="Calibri"/>
          <w:b/>
          <w:bCs/>
        </w:rPr>
        <w:t xml:space="preserve">Twist — drop this at ~15 minutes into the discussion</w:t>
      </w:r>
    </w:p>
    <w:p>
      <w:pPr>
        <w:spacing w:after="160"/>
      </w:pPr>
      <w:r>
        <w:rPr>
          <w:rFonts w:ascii="Calibri" w:cs="Calibri" w:eastAsia="Calibri" w:hAnsi="Calibri"/>
          <w:sz w:val="22"/>
          <w:szCs w:val="22"/>
        </w:rPr>
        <w:t xml:space="preserve">Deliver slowly, with pauses:</w:t>
      </w:r>
    </w:p>
    <w:p>
      <w:pPr>
        <w:spacing w:after="160"/>
      </w:pPr>
      <w:r>
        <w:rPr>
          <w:rFonts w:ascii="Calibri" w:cs="Calibri" w:eastAsia="Calibri" w:hAnsi="Calibri"/>
          <w:sz w:val="22"/>
          <w:szCs w:val="22"/>
        </w:rPr>
        <w:t xml:space="preserve">"Yuki takes her cents-of-deviation number to the shop's owner, ready to argue the Rule of Eighteen is unacceptable. The owner listens, then says: 'You're marking frets. You're not the last hands on this neck.' She pulls out the setup log from the last three guitars the shop shipped — every one of them fretted with the Rule of Eighteen, every one of them passed a professional tuner check at final setup, after the bridge saddle was compensated."</w:t>
      </w:r>
    </w:p>
    <w:p>
      <w:pPr>
        <w:spacing w:after="160"/>
      </w:pPr>
      <w:r>
        <w:rPr>
          <w:rFonts w:ascii="Calibri" w:cs="Calibri" w:eastAsia="Calibri" w:hAnsi="Calibri"/>
          <w:sz w:val="22"/>
          <w:szCs w:val="22"/>
        </w:rPr>
        <w:t xml:space="preserve">"Does that change what Yuki should actually recommend?"</w:t>
      </w:r>
    </w:p>
    <w:p>
      <w:pPr>
        <w:spacing w:after="160"/>
      </w:pPr>
      <w:r>
        <w:rPr>
          <w:rFonts w:ascii="Calibri" w:cs="Calibri" w:eastAsia="Calibri" w:hAnsi="Calibri"/>
          <w:b/>
          <w:bCs/>
          <w:sz w:val="22"/>
          <w:szCs w:val="22"/>
        </w:rPr>
        <w:t xml:space="preserve">Facilitator-only: what this actually does, and does not, change. </w:t>
      </w:r>
      <w:r>
        <w:rPr>
          <w:rFonts w:ascii="Calibri" w:cs="Calibri" w:eastAsia="Calibri" w:hAnsi="Calibri"/>
          <w:sz w:val="22"/>
          <w:szCs w:val="22"/>
        </w:rPr>
        <w:t xml:space="preserve">Bridge-saddle compensation — adjusting the length each string travels past the fretted point, done at final setup on every instrument regardless of which fret-marking method was used — is a real, standard step in guitar building that corrects for a range of systematic intonation errors, including some of the kind the Rule of Eighteen introduces. This case does not have a sourced number for how many cents of correction compensation buys back on this specific build — no source in Appendix G speaks to that, and inventing one here would be exactly the fabrication SPEC §5 forbids. What the twist does is real and nameable without a number: it shows Yuki's D3 figure, which is correct and load-bearing at the fret-marking stage, is not the last word on whether the finished instrument plays in tune — a different craftsperson, at a different stage, using a different tool, also has a say. The twist does not erase the ~12.5-cent finding or flip which method is more exact — it reframes what that finding is actually worth deciding, from "is Option B disqualified" to "is Option B's known, named gap something the shop's own downstream process already absorbs, partially absorbs, or doesn't touch at all." Do not hand a specific answer to that question — it is genuinely open given what this case can honestly source, and that openness is the point.</w:t>
      </w:r>
    </w:p>
    <w:p>
      <w:pPr>
        <w:pStyle w:val="Heading2"/>
        <w:spacing w:after="160" w:before="300"/>
      </w:pPr>
      <w:r>
        <w:rPr>
          <w:rFonts w:ascii="Calibri" w:cs="Calibri" w:eastAsia="Calibri" w:hAnsi="Calibri"/>
          <w:b/>
          <w:bCs/>
        </w:rPr>
        <w:t xml:space="preserve">Immediate recommit</w:t>
      </w:r>
    </w:p>
    <w:p>
      <w:pPr>
        <w:spacing w:after="160"/>
      </w:pPr>
      <w:r>
        <w:rPr>
          <w:rFonts w:ascii="Calibri" w:cs="Calibri" w:eastAsia="Calibri" w:hAnsi="Calibri"/>
          <w:sz w:val="22"/>
          <w:szCs w:val="22"/>
        </w:rPr>
        <w:t xml:space="preserve">Re-vote immediately. Ask by name: "Does the setup log change your vote — or does it just tell you that Yuki's number was never measuring the whole instrument's final intonation?" That distinction is the transferable skill, not the vote itself.</w:t>
      </w:r>
    </w:p>
    <w:p>
      <w:pPr>
        <w:pStyle w:val="Heading2"/>
        <w:spacing w:after="160" w:before="300"/>
      </w:pPr>
      <w:r>
        <w:rPr>
          <w:rFonts w:ascii="Calibri" w:cs="Calibri" w:eastAsia="Calibri" w:hAnsi="Calibri"/>
          <w:b/>
          <w:bCs/>
        </w:rPr>
        <w:t xml:space="preserve">Deep conflict — three threads (20-30 min)</w:t>
      </w:r>
    </w:p>
    <w:p>
      <w:pPr>
        <w:spacing w:after="160"/>
      </w:pPr>
      <w:r>
        <w:rPr>
          <w:rFonts w:ascii="Calibri" w:cs="Calibri" w:eastAsia="Calibri" w:hAnsi="Calibri"/>
          <w:b/>
          <w:bCs/>
          <w:sz w:val="22"/>
          <w:szCs w:val="22"/>
        </w:rPr>
        <w:t xml:space="preserve">1. A correct number is not always the last number. </w:t>
      </w:r>
      <w:r>
        <w:rPr>
          <w:rFonts w:ascii="Calibri" w:cs="Calibri" w:eastAsia="Calibri" w:hAnsi="Calibri"/>
          <w:sz w:val="22"/>
          <w:szCs w:val="22"/>
        </w:rPr>
        <w:t xml:space="preserve">D3's cents figure is real, sourced-adjacent arithmetic, and it is not the finished instrument's final intonation — bridge compensation happens after Yuki's job is done. Is that a flaw in what the case grades, or a real lesson about which stage of a process a given number actually describes?</w:t>
      </w:r>
    </w:p>
    <w:p>
      <w:pPr>
        <w:spacing w:after="160"/>
      </w:pPr>
      <w:r>
        <w:rPr>
          <w:rFonts w:ascii="Calibri" w:cs="Calibri" w:eastAsia="Calibri" w:hAnsi="Calibri"/>
          <w:b/>
          <w:bCs/>
          <w:sz w:val="22"/>
          <w:szCs w:val="22"/>
        </w:rPr>
        <w:t xml:space="preserve">2. Close in inches, not close in cents. </w:t>
      </w:r>
      <w:r>
        <w:rPr>
          <w:rFonts w:ascii="Calibri" w:cs="Calibri" w:eastAsia="Calibri" w:hAnsi="Calibri"/>
          <w:sz w:val="22"/>
          <w:szCs w:val="22"/>
        </w:rPr>
        <w:t xml:space="preserve">Appendix B and C's fret-12 lengths differ by less than a tenth of an inch, yet the case forces a full logarithmic conversion before that gap means anything. Why does "the numbers looked close" fail as a stopping point here?</w:t>
      </w:r>
    </w:p>
    <w:p>
      <w:pPr>
        <w:spacing w:after="160"/>
      </w:pPr>
      <w:r>
        <w:rPr>
          <w:rFonts w:ascii="Calibri" w:cs="Calibri" w:eastAsia="Calibri" w:hAnsi="Calibri"/>
          <w:b/>
          <w:bCs/>
          <w:sz w:val="22"/>
          <w:szCs w:val="22"/>
        </w:rPr>
        <w:t xml:space="preserve">3. What downstream compensation can and can't buy back. </w:t>
      </w:r>
      <w:r>
        <w:rPr>
          <w:rFonts w:ascii="Calibri" w:cs="Calibri" w:eastAsia="Calibri" w:hAnsi="Calibri"/>
          <w:sz w:val="22"/>
          <w:szCs w:val="22"/>
        </w:rPr>
        <w:t xml:space="preserve">The twist introduces a real shop practice with no sourced number attached to it in this case. Is a real, named, but unquantified mitigating factor enough to change a recommendation — or does "we don't know how much it helps" cut the other way, toward not relying on it?</w:t>
      </w:r>
    </w:p>
    <w:p>
      <w:pPr>
        <w:spacing w:after="160"/>
      </w:pPr>
      <w:r>
        <w:rPr>
          <w:rFonts w:ascii="Calibri" w:cs="Calibri" w:eastAsia="Calibri" w:hAnsi="Calibri"/>
          <w:b/>
          <w:bCs/>
          <w:sz w:val="22"/>
          <w:szCs w:val="22"/>
        </w:rPr>
        <w:t xml:space="preserve">4. The time race is thinner than it looks. </w:t>
      </w:r>
      <w:r>
        <w:rPr>
          <w:rFonts w:ascii="Calibri" w:cs="Calibri" w:eastAsia="Calibri" w:hAnsi="Calibri"/>
          <w:sz w:val="22"/>
          <w:szCs w:val="22"/>
        </w:rPr>
        <w:t xml:space="preserve">MA4/MA5 (Appendix F's per-fret calculation-time estimates) are the case author's own scenario guesses, not measured facts — and Appendix G says so directly. If a Hero simply doubts one of those numbers by a plausible amount ("an exponent isn't THAT much slower to key in than a division"), the metric's winner can flip from B to A. Does a recommendation resting on a 4.2% margin built from two unmeasured guesses deserve the same confidence as one resting on a wide, stable gap — and if not, what should Yuki actually do with that uncertainty?</w:t>
      </w:r>
    </w:p>
    <w:p>
      <w:pPr>
        <w:pStyle w:val="Heading2"/>
        <w:spacing w:after="160" w:before="300"/>
      </w:pPr>
      <w:r>
        <w:rPr>
          <w:rFonts w:ascii="Calibri" w:cs="Calibri" w:eastAsia="Calibri" w:hAnsi="Calibri"/>
          <w:b/>
          <w:bCs/>
        </w:rPr>
        <w:t xml:space="preserve">45-minute Socratic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FCE4D6" w:color="auto" w:val="clear"/>
            <w:tcMar>
              <w:top w:type="dxa" w:w="60"/>
              <w:left w:type="dxa" w:w="100"/>
              <w:bottom w:type="dxa" w:w="60"/>
              <w:right w:type="dxa" w:w="100"/>
            </w:tcMar>
            <w:vAlign w:val="center"/>
          </w:tcPr>
          <w:p>
            <w:r>
              <w:rPr>
                <w:rFonts w:ascii="Calibri" w:cs="Calibri" w:eastAsia="Calibri" w:hAnsi="Calibri"/>
                <w:b/>
                <w:bCs/>
                <w:sz w:val="20"/>
                <w:szCs w:val="20"/>
              </w:rPr>
              <w:t xml:space="preserve">Time</w:t>
            </w:r>
          </w:p>
        </w:tc>
        <w:tc>
          <w:tcPr>
            <w:tcW w:type="dxa" w:w="7200"/>
            <w:shd w:fill="FCE4D6" w:color="auto" w:val="clear"/>
            <w:tcMar>
              <w:top w:type="dxa" w:w="60"/>
              <w:left w:type="dxa" w:w="100"/>
              <w:bottom w:type="dxa" w:w="60"/>
              <w:right w:type="dxa" w:w="100"/>
            </w:tcMar>
            <w:vAlign w:val="center"/>
          </w:tcPr>
          <w:p>
            <w:r>
              <w:rPr>
                <w:rFonts w:ascii="Calibri" w:cs="Calibri" w:eastAsia="Calibri" w:hAnsi="Calibri"/>
                <w:b/>
                <w:bCs/>
                <w:sz w:val="20"/>
                <w:szCs w:val="20"/>
              </w:rPr>
              <w:t xml:space="preserve">Move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0:00–3:00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Launch — show both sticky notes, cold-call for a gut read, no formulas yet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3:00–10:00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Position defense — "Convince us your method is the one Yuki should trust, not just the one that sounds more careful"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10:00–15:00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Pressure-test the models — "Whose recommendation is most fragile to the tolerance line moving?"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DROP THE TWIST — the shop's setup log, delivered slowly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15:00–20:00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Immediate recommit — who reverses, and why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20:00–30:00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Threaded deep conflict (a correct number vs. the last number; close-in-inches vs. close-in-cents; what compensation can and can't buy back)</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30:00–45:00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Close, re-vote, reflection, lessons learned</w:t>
            </w:r>
          </w:p>
        </w:tc>
      </w:tr>
    </w:tbl>
    <w:p>
      <w:pPr>
        <w:pStyle w:val="Heading2"/>
        <w:spacing w:after="160" w:before="300"/>
      </w:pPr>
      <w:r>
        <w:rPr>
          <w:rFonts w:ascii="Calibri" w:cs="Calibri" w:eastAsia="Calibri" w:hAnsi="Calibri"/>
          <w:b/>
          <w:bCs/>
        </w:rPr>
        <w:t xml:space="preserve">The trap</w:t>
      </w:r>
    </w:p>
    <w:p>
      <w:pPr>
        <w:spacing w:after="160"/>
      </w:pPr>
      <w:r>
        <w:rPr>
          <w:rFonts w:ascii="Calibri" w:cs="Calibri" w:eastAsia="Calibri" w:hAnsi="Calibri"/>
          <w:sz w:val="22"/>
          <w:szCs w:val="22"/>
        </w:rPr>
        <w:t xml:space="preserve">The plausible wrong answer is treating "small rounding error" as automatically negligible because the words "small" and "traditional" both sound reassuring. Heroes will be tempted to eyeball the Rule of Eighteen's fret-position numbers, see they're close to the Precision Method's, and declare B safe without ever computing the cents conversion in D3 — missing that cents is a logarithmic (multiplicative) scale, not a linear one, so a length difference that looks tiny in inches can still represent a musically nameable number of cents. The case forces D3 specifically so no one can skip straight from "the numbers look close" to "the methods are equivalent."</w:t>
      </w:r>
    </w:p>
    <w:p>
      <w:pPr>
        <w:pStyle w:val="Heading2"/>
        <w:spacing w:after="160" w:before="300"/>
      </w:pPr>
      <w:r>
        <w:rPr>
          <w:rFonts w:ascii="Calibri" w:cs="Calibri" w:eastAsia="Calibri" w:hAnsi="Calibri"/>
          <w:b/>
          <w:bCs/>
        </w:rPr>
        <w:t xml:space="preserve">Socratic questions</w:t>
      </w:r>
    </w:p>
    <w:p>
      <w:pPr>
        <w:spacing w:after="160"/>
      </w:pPr>
      <w:r>
        <w:rPr>
          <w:rFonts w:ascii="Calibri" w:cs="Calibri" w:eastAsia="Calibri" w:hAnsi="Calibri"/>
          <w:sz w:val="22"/>
          <w:szCs w:val="22"/>
        </w:rPr>
        <w:t xml:space="preserve">1. Your D3 cents-of-deviation figure at fret 12 — is that number bigger or smaller than you expected before you calculated it, and what does that tell you about why the Rule of Eighteen survived as a real shop method for so long?</w:t>
      </w:r>
    </w:p>
    <w:p>
      <w:pPr>
        <w:spacing w:after="160"/>
      </w:pPr>
      <w:r>
        <w:rPr>
          <w:rFonts w:ascii="Calibri" w:cs="Calibri" w:eastAsia="Calibri" w:hAnsi="Calibri"/>
          <w:sz w:val="22"/>
          <w:szCs w:val="22"/>
        </w:rPr>
        <w:t xml:space="preserve">2. If the Rule of Eighteen's drift crosses the acceptable-tolerance line in Appendix D, does it cross it exactly at fret 12, or does your D1/D2 comparison suggest it might cross earlier or later — and why does the case's primary metric only ask about fret 12?</w:t>
      </w:r>
    </w:p>
    <w:p>
      <w:pPr>
        <w:spacing w:after="160"/>
      </w:pPr>
      <w:r>
        <w:rPr>
          <w:rFonts w:ascii="Calibri" w:cs="Calibri" w:eastAsia="Calibri" w:hAnsi="Calibri"/>
          <w:sz w:val="22"/>
          <w:szCs w:val="22"/>
        </w:rPr>
        <w:t xml:space="preserve">3. Your D4 table shows none of frets 1–5 reducing to a simple whole-number ratio, while fret 12 reduces exactly to 2:1. What does a "nice" ratio actually correspond to on the instrument, and why is the octave the one place equal temperament guarantees you'll find one?</w:t>
      </w:r>
    </w:p>
    <w:p>
      <w:pPr>
        <w:spacing w:after="160"/>
      </w:pPr>
      <w:r>
        <w:rPr>
          <w:rFonts w:ascii="Calibri" w:cs="Calibri" w:eastAsia="Calibri" w:hAnsi="Calibri"/>
          <w:sz w:val="22"/>
          <w:szCs w:val="22"/>
        </w:rPr>
        <w:t xml:space="preserve">4. Appendix F shows the two methods' total shop time is close, while Appendix D shows their accuracy gap is not. A week of unpaid rework is the cost of being wrong (Appendix F). Which of those two numbers should actually drive Yuki's recommendation — the one where the methods are close, or the one where they aren't — and why doesn't "close on time" settle the decision by itself?</w:t>
      </w:r>
    </w:p>
    <w:p>
      <w:pPr>
        <w:spacing w:after="160"/>
      </w:pPr>
      <w:r>
        <w:rPr>
          <w:rFonts w:ascii="Calibri" w:cs="Calibri" w:eastAsia="Calibri" w:hAnsi="Calibri"/>
          <w:sz w:val="22"/>
          <w:szCs w:val="22"/>
        </w:rPr>
        <w:t xml:space="preserve">5. The "Rule of Eighteen" is named for a whole number, but the source in Appendix G shows the more precise modern divisor luthiers sometimes use instead is 17.817154, not 18. Why would a trade keep using a rounded nickname for over a century instead of correcting the name to match the number some shops actually use?</w:t>
      </w:r>
    </w:p>
    <w:p>
      <w:pPr>
        <w:spacing w:after="160"/>
      </w:pPr>
      <w:r>
        <w:rPr>
          <w:rFonts w:ascii="Calibri" w:cs="Calibri" w:eastAsia="Calibri" w:hAnsi="Calibri"/>
          <w:sz w:val="22"/>
          <w:szCs w:val="22"/>
        </w:rPr>
        <w:t xml:space="preserve">6. MA4 and MA5 (Appendix F/G) are Yuki's own guesses at how many seconds each method takes to calculate one fret's position — nobody timed a real luthier doing this. If you think either guess is off by even 5-6 seconds in the right direction, the total-shop-time comparison can flip which method wins. Should a recommendation built on a margin that thin lean more heavily on the accuracy gap in Appendix D instead — and if so, how thin does a margin have to get before you stop trusting it as the deciding factor?</w:t>
      </w:r>
    </w:p>
    <w:p>
      <w:pPr>
        <w:pStyle w:val="Heading2"/>
        <w:spacing w:after="160" w:before="300"/>
      </w:pPr>
      <w:r>
        <w:rPr>
          <w:rFonts w:ascii="Calibri" w:cs="Calibri" w:eastAsia="Calibri" w:hAnsi="Calibri"/>
          <w:b/>
          <w:bCs/>
        </w:rPr>
        <w:t xml:space="preserve">Close</w:t>
      </w:r>
    </w:p>
    <w:p>
      <w:pPr>
        <w:spacing w:after="160"/>
      </w:pPr>
      <w:r>
        <w:rPr>
          <w:rFonts w:ascii="Calibri" w:cs="Calibri" w:eastAsia="Calibri" w:hAnsi="Calibri"/>
          <w:sz w:val="22"/>
          <w:szCs w:val="22"/>
        </w:rPr>
        <w:t xml:space="preserve">VOTE AGAIN. "Did we ask the right question at the start?" "What math was new to you tonight, and how did you actually attack it?" Compare the closing vote to Anchor 1's — a room that voted for B at Anchor 1 purely on "it's the traditional method" and stays with B after the twist for a different, numbers-and-process-based reason has genuinely moved, even if the vote count looks unchanged.</w:t>
      </w:r>
    </w:p>
    <w:p>
      <w:pPr>
        <w:pStyle w:val="Heading2"/>
        <w:spacing w:after="160" w:before="300"/>
      </w:pPr>
      <w:r>
        <w:rPr>
          <w:rFonts w:ascii="Calibri" w:cs="Calibri" w:eastAsia="Calibri" w:hAnsi="Calibri"/>
          <w:b/>
          <w:bCs/>
        </w:rPr>
        <w:t xml:space="preserve">Lessons Learned</w:t>
      </w:r>
    </w:p>
    <w:p>
      <w:pPr>
        <w:spacing w:after="160"/>
      </w:pPr>
      <w:r>
        <w:rPr>
          <w:rFonts w:ascii="Calibri" w:cs="Calibri" w:eastAsia="Calibri" w:hAnsi="Calibri"/>
          <w:i/>
          <w:iCs/>
          <w:sz w:val="22"/>
          <w:szCs w:val="22"/>
        </w:rPr>
        <w:t xml:space="preserve">(To be filled after the first real run — placeholder structure only.)</w:t>
      </w:r>
    </w:p>
    <w:p>
      <w:pPr>
        <w:pStyle w:val="ListParagraph"/>
        <w:numPr>
          <w:ilvl w:val="0"/>
          <w:numId w:val="2"/>
        </w:numPr>
        <w:spacing w:after="80"/>
      </w:pPr>
      <w:r>
        <w:rPr>
          <w:rFonts w:ascii="Calibri" w:cs="Calibri" w:eastAsia="Calibri" w:hAnsi="Calibri"/>
          <w:sz w:val="22"/>
          <w:szCs w:val="22"/>
        </w:rPr>
        <w:t xml:space="preserve">Whether Anchor 4's "none of the Modeling Assumptions touch the graded D3 figure" finding landed as a discovery or had to be told outright.</w:t>
      </w:r>
    </w:p>
    <w:p>
      <w:pPr>
        <w:pStyle w:val="ListParagraph"/>
        <w:numPr>
          <w:ilvl w:val="0"/>
          <w:numId w:val="2"/>
        </w:numPr>
        <w:spacing w:after="80"/>
      </w:pPr>
      <w:r>
        <w:rPr>
          <w:rFonts w:ascii="Calibri" w:cs="Calibri" w:eastAsia="Calibri" w:hAnsi="Calibri"/>
          <w:sz w:val="22"/>
          <w:szCs w:val="22"/>
        </w:rPr>
        <w:t xml:space="preserve">Whether the "close in inches, not close in cents" trap was the actual sticking point, or whether D4's GCF reduction was the harder gate for most Heroes.</w:t>
      </w:r>
    </w:p>
    <w:p>
      <w:pPr>
        <w:pStyle w:val="ListParagraph"/>
        <w:numPr>
          <w:ilvl w:val="0"/>
          <w:numId w:val="2"/>
        </w:numPr>
        <w:spacing w:after="80"/>
      </w:pPr>
      <w:r>
        <w:rPr>
          <w:rFonts w:ascii="Calibri" w:cs="Calibri" w:eastAsia="Calibri" w:hAnsi="Calibri"/>
          <w:sz w:val="22"/>
          <w:szCs w:val="22"/>
        </w:rPr>
        <w:t xml:space="preserve">Whether the twist's unquantified compensation factor felt like an honest open question or felt like the case dodging a real answer — worth listening for directly.</w:t>
      </w:r>
    </w:p>
    <w:p>
      <w:pPr>
        <w:pStyle w:val="ListParagraph"/>
        <w:numPr>
          <w:ilvl w:val="0"/>
          <w:numId w:val="2"/>
        </w:numPr>
        <w:spacing w:after="80"/>
      </w:pPr>
      <w:r>
        <w:rPr>
          <w:rFonts w:ascii="Calibri" w:cs="Calibri" w:eastAsia="Calibri" w:hAnsi="Calibri"/>
          <w:sz w:val="22"/>
          <w:szCs w:val="22"/>
        </w:rPr>
        <w:t xml:space="preserve">Whether the retuned primary metric (total shop time, Appendix F) read to Heroes as a fair, real-world framing of the dilemma, or as a distraction from the accuracy gap that actually matters most for a finished instrument — this is exactly the tension Socratic Q4 is built to surface, and it's worth checking whether the room found it on their own.</w:t>
      </w:r>
    </w:p>
    <w:p>
      <w:pPr>
        <w:pStyle w:val="Heading2"/>
        <w:spacing w:after="160" w:before="300"/>
      </w:pPr>
      <w:r>
        <w:rPr>
          <w:rFonts w:ascii="Calibri" w:cs="Calibri" w:eastAsia="Calibri" w:hAnsi="Calibri"/>
          <w:b/>
          <w:bCs/>
        </w:rPr>
        <w:t xml:space="preserve">Standards Touched On</w:t>
      </w:r>
    </w:p>
    <w:p>
      <w:pPr>
        <w:spacing w:after="160"/>
      </w:pPr>
      <w:r>
        <w:rPr>
          <w:rFonts w:ascii="Calibri" w:cs="Calibri" w:eastAsia="Calibri" w:hAnsi="Calibri"/>
          <w:sz w:val="22"/>
          <w:szCs w:val="22"/>
        </w:rPr>
        <w:t xml:space="preserve">Greatest Common Factor · Factor · Exponent (also Power) · Ratio</w:t>
      </w:r>
    </w:p>
    <w:p>
      <w:pPr>
        <w:pStyle w:val="Heading2"/>
        <w:spacing w:after="160" w:before="300"/>
      </w:pPr>
      <w:r>
        <w:rPr>
          <w:rFonts w:ascii="Calibri" w:cs="Calibri" w:eastAsia="Calibri" w:hAnsi="Calibri"/>
          <w:b/>
          <w:bCs/>
        </w:rPr>
        <w:t xml:space="preserve">Facilitator note — assumption sensitivity (Tier 2 probe P5)</w:t>
      </w:r>
    </w:p>
    <w:p>
      <w:pPr>
        <w:spacing w:after="160"/>
      </w:pPr>
      <w:r>
        <w:rPr>
          <w:rFonts w:ascii="Calibri" w:cs="Calibri" w:eastAsia="Calibri" w:hAnsi="Calibri"/>
          <w:b/>
          <w:bCs/>
          <w:sz w:val="22"/>
          <w:szCs w:val="22"/>
        </w:rPr>
        <w:t xml:space="preserve">Corrected 2026-08-27. </w:t>
      </w:r>
      <w:r>
        <w:rPr>
          <w:rFonts w:ascii="Calibri" w:cs="Calibri" w:eastAsia="Calibri" w:hAnsi="Calibri"/>
          <w:sz w:val="22"/>
          <w:szCs w:val="22"/>
        </w:rPr>
        <w:t xml:space="preserve">The total-shop-time margin (4.2%, Appendix F) is NOT robust to a ±50% swing in MA4 or MA5, the two per-fret calculation-time estimates that feed it directly — it flips from Option B (Rule of Eighteen) to Option A (Precision Method) if MA4 runs about 50% faster (~10s instead of 20s) or if MA5 runs about 50% slower (~21s instead of 14s). MA6 (the 45-minute shared baseline) does not flip it at either bound. This was checked mechanically in cases/fret-board/sensitivity_model.py and is recorded in case.json.sensitivity_disclosure[] (Category X on both MA4 and MA5 — a good-faith estimate from the closest public analogue, not a measured fact) and in case.md's Modeling Assumptions table. Do not present the 4.2% margin as a settled result. A Hero who challenges MA4/MA5's plausibility is doing exactly the right thing — use "Deep conflict" thread 4 and Socratic question 6 to let that challenge surface naturally, and do not hand down a resolution; the honest answer is that the time race is thin and the accuracy gap (Appendix D) is the sturdier basis for a recommendation, which is exactly what D5 and the Twist are already built to weigh.</w:t>
      </w:r>
    </w:p>
    <w:p>
      <w:pPr>
        <w:pStyle w:val="Heading2"/>
        <w:spacing w:after="160" w:before="300"/>
      </w:pPr>
      <w:r>
        <w:rPr>
          <w:rFonts w:ascii="Calibri" w:cs="Calibri" w:eastAsia="Calibri" w:hAnsi="Calibri"/>
          <w:b/>
          <w:bCs/>
        </w:rPr>
        <w:t xml:space="preserve">Facilitator note — sensitivity (SPEC §6)</w:t>
      </w:r>
    </w:p>
    <w:p>
      <w:pPr>
        <w:spacing w:after="160"/>
      </w:pPr>
      <w:r>
        <w:rPr>
          <w:rFonts w:ascii="Calibri" w:cs="Calibri" w:eastAsia="Calibri" w:hAnsi="Calibri"/>
          <w:sz w:val="22"/>
          <w:szCs w:val="22"/>
        </w:rPr>
        <w:t xml:space="preserve">None required — the stakes here are a first solo job, a client deadline, and a shop cost, not personal loss, illness, or hardship. case.json.sensitivity_note is null for the same reason. (This is a different kind of "sensitivity" than the assumption-sensitivity note above — SPEC §6 is about emotionally sensitive subject matter, not numeric fragility.)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2026-08-27T23:45:02.845Z</dcterms:created>
  <dcterms:modified xsi:type="dcterms:W3CDTF">2026-08-27T23:45:02.846Z</dcterms:modified>
</cp:coreProperties>
</file>

<file path=docProps/custom.xml><?xml version="1.0" encoding="utf-8"?>
<Properties xmlns="http://schemas.openxmlformats.org/officeDocument/2006/custom-properties" xmlns:vt="http://schemas.openxmlformats.org/officeDocument/2006/docPropsVTypes"/>
</file>