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Placement Test</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Jaylen Ortiz has the recommendation slide open and still blank on a Sunday night, laptop propped against a stack of unopened mail, the kitchen table lit by one lamp because everyone else in the house is asleep. Two documents sit in adjacent tabs. One is a media plan so simple it fits on a single slide: one mention, one moment in the video, one call-to-action, running straight through the quarter. The other is a spreadsheet Jaylen has been rebuilding all weekend — a full test matrix, every placement timing crossed with every call-to-action style, color-coded cells stretching past the edge of the screen.</w:t>
      </w:r>
    </w:p>
    <w:p>
      <w:r>
        <w:t xml:space="preserve">The brand's growth lead texted twice today, both times some version of </w:t>
      </w:r>
      <w:r>
        <w:rPr>
          <w:i/>
          <w:iCs/>
        </w:rPr>
        <w:t xml:space="preserve">we need real signal before the board meeting, not a guess dressed up as a plan.</w:t>
      </w:r>
      <w:r>
        <w:t xml:space="preserve"> The media buyer, on a call this afternoon, said the opposite: </w:t>
      </w:r>
      <w:r>
        <w:rPr>
          <w:i/>
          <w:iCs/>
        </w:rPr>
        <w:t xml:space="preserve">every variant you add is budget you're taking away from the one that might actually work.</w:t>
      </w:r>
      <w:r>
        <w:t xml:space="preserve"> Both of them are right, which is the problem.</w:t>
      </w:r>
    </w:p>
    <w:p>
      <w:r>
        <w:t xml:space="preserve">Jaylen scrolls back to the top of the test matrix, counting the cells again, watching the number of distinct combinations climb faster than the fixed budget the finance team has already locked in for the quarter. Somewhere in that grid is either the most defensible test this brand has ever run, or a plan so thinly spread that none of it will mean anything by the time the data comes back.</w:t>
      </w:r>
    </w:p>
    <w:p>
      <w:r>
        <w:t xml:space="preserve">The cursor blinks on the empty recommendation slide, and the coffee next to the laptop has gone cold.</w:t>
      </w:r>
    </w:p>
    <w:p>
      <w:pPr>
        <w:pStyle w:val="Heading2"/>
        <w:spacing w:after="120" w:before="240"/>
      </w:pPr>
      <w:r>
        <w:t xml:space="preserve">Background</w:t>
      </w:r>
    </w:p>
    <w:p>
      <w:r>
        <w:t xml:space="preserve">Jaylen Ortiz is the Social Media/Influencer Marketing Strategist for a mid-size direct-to-consumer brand, responsible for recommending how the brand's paid-placement budget for its next sponsored-video campaign should be spent, and accountable to the growth lead and finance team for defending that recommendation before next quarter's ad budget is allocated against it (SEE APPENDIX B). The brand pays a creator to produce one sponsored video per campaign cycle; the question in front of Jaylen is not what the video says, but how the brand tests which paid-placement approach around that video actually drives purchases.</w:t>
      </w:r>
    </w:p>
    <w:p>
      <w:r>
        <w:t xml:space="preserve">Two plans are on the table:</w:t>
      </w:r>
    </w:p>
    <w:p>
      <w:r>
        <w:rPr>
          <w:b/>
          <w:bCs/>
        </w:rPr>
        <w:t xml:space="preserve">The Straight Cut</w:t>
      </w:r>
      <w:r>
        <w:t xml:space="preserve"> — a single fixed placement. The product mention airs at one fixed point in the sponsored video, paired with one call-to-action style, for the entire campaign window (SEE APPENDIX B).</w:t>
      </w:r>
    </w:p>
    <w:p>
      <w:r>
        <w:rPr>
          <w:b/>
          <w:bCs/>
        </w:rPr>
        <w:t xml:space="preserve">The Full Rotation</w:t>
      </w:r>
      <w:r>
        <w:t xml:space="preserve"> — a full multi-variant test. The creator cuts three separate versions of the video, each moving the product mention to a different point — an Early Mention, a Mid Mention, and a Late Mention — and each cut runs behind two different call-to-action styles, an Urgency CTA and a Social-Proof CTA, for six distinct variants in total (SEE APPENDIX A).</w:t>
      </w:r>
    </w:p>
    <w:p>
      <w:r>
        <w:t xml:space="preserve">The two plans face the same hard limits. The creator delivers only one newly edited video cut per production week — a call-to-action style is a text overlay applied at ad-serving time and does not require a new edit, but each placement-timing cut does — so The Full Rotation's three cuts must be produced across whatever weeks remain in the test window before quarter-end (SEE APPENDIX A). Both plans draw from the exact same fixed ad-spend budget the finance team has already locked in for the quarter; The Straight Cut spends all of it behind one variant, while The Full Rotation divides it across six (SEE APPENDIX B). And every variant, in either plan, needs to clear the ad platform's own minimum recommended spend before its conversion numbers can be trusted as a real read rather than noise (SEE APPENDIX C).</w:t>
      </w:r>
    </w:p>
    <w:p>
      <w:r>
        <w:t xml:space="preserve">The Full Rotation is a genuinely bigger test — three placement timings and two call-to-action styles is real signal a single fixed placement can never produce. But splitting one fixed budget six ways instead of one way changes what each variant can actually prove. Every sourced and assumed figure in this case is listed in Appendix E (Modeling Assumptions, completed once case-research runs) and Appendix F (Sources); the vocabulary and "how to…" skills this case will ask you to research are listed in Appendix G — that is where Challenge 1 sends you.</w:t>
      </w:r>
    </w:p>
    <w:p>
      <w:pPr>
        <w:pStyle w:val="Heading2"/>
        <w:spacing w:after="120" w:before="240"/>
      </w:pPr>
      <w:r>
        <w:t xml:space="preserve">Dilemma</w:t>
      </w:r>
    </w:p>
    <w:p>
      <w:r>
        <w:t xml:space="preserve">You are Jaylen Ortiz. Do you: A.) Run The Straight Cut — a single fixed placement airing at one point in the video for the whole campaign window OR B.) Run The Full Rotation — a full multi-variant test cycling through all three placement-timing video cuts and both call-to-action styles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permutation calculation (SEE APPENDIX A), shown with the formula and every step, for the     number of distinct possible production-order sequences in which the three placement-timing     video cuts could be produced across the production weeks remaining before quarter-end.     D2. A budget-per-variant table (SEE APPENDIX B) comparing The Straight Cut's single-variant     budget to The Full Rotation's six-variant budget split, in dollars per variant, with the     arithmetic shown.     D3. A minimum-viable-spend clearance table (SEE APPENDIX C) showing, for each plan, what     percent of the ad platform's minimum recommended per-variant spend threshold each variant's     budget actually represents.     D4. A final recommendation table (SEE APPENDICES B, C AND D) reporting statistically     attributable conversions per dollar of ad spend for The Straight Cut and for The Full     Rotation, with your recommendation stated and defended using that number.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Variant Roster &amp; Production Schedule</w:t>
      </w:r>
    </w:p>
    <w:p>
      <w:r>
        <w:t xml:space="preserve">Every distinct combination of placement timing and call-to-action style that The Full Rotation would need to produce and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Variant</w:t>
            </w:r>
          </w:p>
        </w:tc>
        <w:tc>
          <w:tcPr>
            <w:tcW w:type="dxa" w:w="3000"/>
            <w:shd w:fill="DDDDDD" w:val="clear"/>
          </w:tcPr>
          <w:p>
            <w:r>
              <w:t xml:space="preserve">Placement timing</w:t>
            </w:r>
          </w:p>
        </w:tc>
        <w:tc>
          <w:tcPr>
            <w:tcW w:type="dxa" w:w="3000"/>
            <w:shd w:fill="DDDDDD" w:val="clear"/>
          </w:tcPr>
          <w:p>
            <w:r>
              <w:t xml:space="preserve">Call-to-action style</w:t>
            </w:r>
          </w:p>
        </w:tc>
      </w:tr>
      <w:tr>
        <w:tc>
          <w:tcPr>
            <w:tcW w:type="dxa" w:w="3000"/>
          </w:tcPr>
          <w:p>
            <w:r>
              <w:t xml:space="preserve">1</w:t>
            </w:r>
          </w:p>
        </w:tc>
        <w:tc>
          <w:tcPr>
            <w:tcW w:type="dxa" w:w="3000"/>
          </w:tcPr>
          <w:p>
            <w:r>
              <w:t xml:space="preserve">Early Mention</w:t>
            </w:r>
          </w:p>
        </w:tc>
        <w:tc>
          <w:tcPr>
            <w:tcW w:type="dxa" w:w="3000"/>
          </w:tcPr>
          <w:p>
            <w:r>
              <w:t xml:space="preserve">Urgency CTA</w:t>
            </w:r>
          </w:p>
        </w:tc>
      </w:tr>
      <w:tr>
        <w:tc>
          <w:tcPr>
            <w:tcW w:type="dxa" w:w="3000"/>
          </w:tcPr>
          <w:p>
            <w:r>
              <w:t xml:space="preserve">2</w:t>
            </w:r>
          </w:p>
        </w:tc>
        <w:tc>
          <w:tcPr>
            <w:tcW w:type="dxa" w:w="3000"/>
          </w:tcPr>
          <w:p>
            <w:r>
              <w:t xml:space="preserve">Early Mention</w:t>
            </w:r>
          </w:p>
        </w:tc>
        <w:tc>
          <w:tcPr>
            <w:tcW w:type="dxa" w:w="3000"/>
          </w:tcPr>
          <w:p>
            <w:r>
              <w:t xml:space="preserve">Social-Proof CTA</w:t>
            </w:r>
          </w:p>
        </w:tc>
      </w:tr>
      <w:tr>
        <w:tc>
          <w:tcPr>
            <w:tcW w:type="dxa" w:w="3000"/>
          </w:tcPr>
          <w:p>
            <w:r>
              <w:t xml:space="preserve">3</w:t>
            </w:r>
          </w:p>
        </w:tc>
        <w:tc>
          <w:tcPr>
            <w:tcW w:type="dxa" w:w="3000"/>
          </w:tcPr>
          <w:p>
            <w:r>
              <w:t xml:space="preserve">Mid Mention</w:t>
            </w:r>
          </w:p>
        </w:tc>
        <w:tc>
          <w:tcPr>
            <w:tcW w:type="dxa" w:w="3000"/>
          </w:tcPr>
          <w:p>
            <w:r>
              <w:t xml:space="preserve">Urgency CTA</w:t>
            </w:r>
          </w:p>
        </w:tc>
      </w:tr>
      <w:tr>
        <w:tc>
          <w:tcPr>
            <w:tcW w:type="dxa" w:w="3000"/>
          </w:tcPr>
          <w:p>
            <w:r>
              <w:t xml:space="preserve">4</w:t>
            </w:r>
          </w:p>
        </w:tc>
        <w:tc>
          <w:tcPr>
            <w:tcW w:type="dxa" w:w="3000"/>
          </w:tcPr>
          <w:p>
            <w:r>
              <w:t xml:space="preserve">Mid Mention</w:t>
            </w:r>
          </w:p>
        </w:tc>
        <w:tc>
          <w:tcPr>
            <w:tcW w:type="dxa" w:w="3000"/>
          </w:tcPr>
          <w:p>
            <w:r>
              <w:t xml:space="preserve">Social-Proof CTA</w:t>
            </w:r>
          </w:p>
        </w:tc>
      </w:tr>
      <w:tr>
        <w:tc>
          <w:tcPr>
            <w:tcW w:type="dxa" w:w="3000"/>
          </w:tcPr>
          <w:p>
            <w:r>
              <w:t xml:space="preserve">5</w:t>
            </w:r>
          </w:p>
        </w:tc>
        <w:tc>
          <w:tcPr>
            <w:tcW w:type="dxa" w:w="3000"/>
          </w:tcPr>
          <w:p>
            <w:r>
              <w:t xml:space="preserve">Late Mention</w:t>
            </w:r>
          </w:p>
        </w:tc>
        <w:tc>
          <w:tcPr>
            <w:tcW w:type="dxa" w:w="3000"/>
          </w:tcPr>
          <w:p>
            <w:r>
              <w:t xml:space="preserve">Urgency CTA</w:t>
            </w:r>
          </w:p>
        </w:tc>
      </w:tr>
      <w:tr>
        <w:tc>
          <w:tcPr>
            <w:tcW w:type="dxa" w:w="3000"/>
          </w:tcPr>
          <w:p>
            <w:r>
              <w:t xml:space="preserve">6</w:t>
            </w:r>
          </w:p>
        </w:tc>
        <w:tc>
          <w:tcPr>
            <w:tcW w:type="dxa" w:w="3000"/>
          </w:tcPr>
          <w:p>
            <w:r>
              <w:t xml:space="preserve">Late Mention</w:t>
            </w:r>
          </w:p>
        </w:tc>
        <w:tc>
          <w:tcPr>
            <w:tcW w:type="dxa" w:w="3000"/>
          </w:tcPr>
          <w:p>
            <w:r>
              <w:t xml:space="preserve">Social-Proof CTA</w:t>
            </w:r>
          </w:p>
        </w:tc>
      </w:tr>
    </w:tbl>
    <w:p/>
    <w:p>
      <w:r>
        <w:t xml:space="preserve">Only the three placement-timing cuts (Early, Mid, Late) require a new video edit from the creator; the two call-to-action styles are applied as a text overlay at ad-serving time and do not require a separate edit. The creator can deliver only one newly edited cut per production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Production weeks remaining in the test window before quarter-end</w:t>
            </w:r>
          </w:p>
        </w:tc>
        <w:tc>
          <w:tcPr>
            <w:tcW w:type="dxa" w:w="4500"/>
          </w:tcPr>
          <w:p>
            <w:r>
              <w:t xml:space="preserve">5 weeks [MA1]</w:t>
            </w:r>
          </w:p>
        </w:tc>
      </w:tr>
    </w:tbl>
    <w:p/>
    <w:p>
      <w:pPr>
        <w:pStyle w:val="Heading2"/>
        <w:spacing w:after="120" w:before="240"/>
      </w:pPr>
      <w:r>
        <w:t xml:space="preserve">Appendix B — Budget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Total fixed ad-spend budget locked for the quarter's paid-placement test</w:t>
            </w:r>
          </w:p>
        </w:tc>
        <w:tc>
          <w:tcPr>
            <w:tcW w:type="dxa" w:w="4500"/>
          </w:tcPr>
          <w:p>
            <w:r>
              <w:t xml:space="preserve">$60,000 [MA2]</w:t>
            </w:r>
          </w:p>
        </w:tc>
      </w:tr>
      <w:tr>
        <w:tc>
          <w:tcPr>
            <w:tcW w:type="dxa" w:w="4500"/>
          </w:tcPr>
          <w:p>
            <w:r>
              <w:t xml:space="preserve">Variants funded under The Straight Cut</w:t>
            </w:r>
          </w:p>
        </w:tc>
        <w:tc>
          <w:tcPr>
            <w:tcW w:type="dxa" w:w="4500"/>
          </w:tcPr>
          <w:p>
            <w:r>
              <w:t xml:space="preserve">1</w:t>
            </w:r>
          </w:p>
        </w:tc>
      </w:tr>
      <w:tr>
        <w:tc>
          <w:tcPr>
            <w:tcW w:type="dxa" w:w="4500"/>
          </w:tcPr>
          <w:p>
            <w:r>
              <w:t xml:space="preserve">Variants funded under The Full Rotation</w:t>
            </w:r>
          </w:p>
        </w:tc>
        <w:tc>
          <w:tcPr>
            <w:tcW w:type="dxa" w:w="4500"/>
          </w:tcPr>
          <w:p>
            <w:r>
              <w:t xml:space="preserve">6</w:t>
            </w:r>
          </w:p>
        </w:tc>
      </w:tr>
    </w:tbl>
    <w:p/>
    <w:p>
      <w:pPr>
        <w:pStyle w:val="Heading2"/>
        <w:spacing w:after="120" w:before="240"/>
      </w:pPr>
      <w:r>
        <w:t xml:space="preserve">Appendix C — Minimum-Viable-Spend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Meta's minimum recommended optimization events for an ad set to exit the learning phase</w:t>
            </w:r>
          </w:p>
        </w:tc>
        <w:tc>
          <w:tcPr>
            <w:tcW w:type="dxa" w:w="4500"/>
          </w:tcPr>
          <w:p>
            <w:r>
              <w:t xml:space="preserve">50 events / 7-day week [S2]</w:t>
            </w:r>
          </w:p>
        </w:tc>
      </w:tr>
      <w:tr>
        <w:tc>
          <w:tcPr>
            <w:tcW w:type="dxa" w:w="4500"/>
          </w:tcPr>
          <w:p>
            <w:r>
              <w:t xml:space="preserve">Google Ads' minimum recommended conversion volume for a reliable Smart Bidding read</w:t>
            </w:r>
          </w:p>
        </w:tc>
        <w:tc>
          <w:tcPr>
            <w:tcW w:type="dxa" w:w="4500"/>
          </w:tcPr>
          <w:p>
            <w:r>
              <w:t xml:space="preserve">30 conversions / 30-day month [S1]</w:t>
            </w:r>
          </w:p>
        </w:tc>
      </w:tr>
      <w:tr>
        <w:tc>
          <w:tcPr>
            <w:tcW w:type="dxa" w:w="4500"/>
          </w:tcPr>
          <w:p>
            <w:r>
              <w:t xml:space="preserve">Assumed average cost per attributable conversion for this scenario (no official dollar threshold is published by either platform — see Appendix E)</w:t>
            </w:r>
          </w:p>
        </w:tc>
        <w:tc>
          <w:tcPr>
            <w:tcW w:type="dxa" w:w="4500"/>
          </w:tcPr>
          <w:p>
            <w:r>
              <w:t xml:space="preserve">$20 / conversion [MA3]</w:t>
            </w:r>
          </w:p>
        </w:tc>
      </w:tr>
      <w:tr>
        <w:tc>
          <w:tcPr>
            <w:tcW w:type="dxa" w:w="4500"/>
          </w:tcPr>
          <w:p>
            <w:r>
              <w:rPr>
                <w:b/>
                <w:bCs/>
              </w:rPr>
              <w:t xml:space="preserve">Derived minimum-viable spend per variant over the 5-week test window</w:t>
            </w:r>
            <w:r>
              <w:t xml:space="preserve"> (250 events [Meta, S2, × 5 weeks] × $20/conversion [MA3])</w:t>
            </w:r>
          </w:p>
        </w:tc>
        <w:tc>
          <w:tcPr>
            <w:tcW w:type="dxa" w:w="4500"/>
          </w:tcPr>
          <w:p>
            <w:r>
              <w:rPr>
                <w:b/>
                <w:bCs/>
              </w:rPr>
              <w:t xml:space="preserve">$5,000 / variant</w:t>
            </w:r>
          </w:p>
        </w:tc>
      </w:tr>
    </w:tbl>
    <w:p/>
    <w:p>
      <w:pPr>
        <w:pStyle w:val="Heading2"/>
        <w:spacing w:after="120" w:before="240"/>
      </w:pPr>
      <w:r>
        <w:t xml:space="preserve">Appendix D — Industry Benchmark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Published industry benchmark conversion rate range, paid-social/influencer video ad placements (contested — see Appendix E)</w:t>
            </w:r>
          </w:p>
        </w:tc>
        <w:tc>
          <w:tcPr>
            <w:tcW w:type="dxa" w:w="4500"/>
          </w:tcPr>
          <w:p>
            <w:r>
              <w:t xml:space="preserve">1%–3%, used: 2% [MA4]</w:t>
            </w:r>
          </w:p>
        </w:tc>
      </w:tr>
      <w:tr>
        <w:tc>
          <w:tcPr>
            <w:tcW w:type="dxa" w:w="4500"/>
          </w:tcPr>
          <w:p>
            <w:r>
              <w:t xml:space="preserve">Published industry benchmark CPM range, paid-social video ad placements (contested — see Appendix E)</w:t>
            </w:r>
          </w:p>
        </w:tc>
        <w:tc>
          <w:tcPr>
            <w:tcW w:type="dxa" w:w="4500"/>
          </w:tcPr>
          <w:p>
            <w:r>
              <w:t xml:space="preserve">$10–$20, used: $15 [MA5]</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Production weeks remaining before quarter-end</w:t>
            </w:r>
          </w:p>
        </w:tc>
        <w:tc>
          <w:tcPr>
            <w:tcW w:type="dxa" w:w="1800"/>
          </w:tcPr>
          <w:p>
            <w:r>
              <w:t xml:space="preserve">5 weeks</w:t>
            </w:r>
          </w:p>
        </w:tc>
        <w:tc>
          <w:tcPr>
            <w:tcW w:type="dxa" w:w="1800"/>
          </w:tcPr>
          <w:p>
            <w:r>
              <w:t xml:space="preserve">This is a detail internal to Jaylen's fictional employer's production calendar — no public source can ever exist for it. Set to more than the 3 required cuts so the D1 permutation calculation requires the full </w:t>
            </w:r>
            <w:r>
              <w:rPr>
                <w:rFonts w:ascii="Courier New" w:cs="Courier New" w:eastAsia="Courier New" w:hAnsi="Courier New"/>
              </w:rPr>
              <w:t xml:space="preserve">nPr</w:t>
            </w:r>
            <w:r>
              <w:t xml:space="preserve"> formula (order matters across more available weeks than cuts needed) rather than a trivial </w:t>
            </w:r>
            <w:r>
              <w:rPr>
                <w:rFonts w:ascii="Courier New" w:cs="Courier New" w:eastAsia="Courier New" w:hAnsi="Courier New"/>
              </w:rPr>
              <w:t xml:space="preserve">3!</w:t>
            </w:r>
            <w:r>
              <w:t xml:space="preserve">.</w:t>
            </w:r>
          </w:p>
        </w:tc>
        <w:tc>
          <w:tcPr>
            <w:tcW w:type="dxa" w:w="1800"/>
          </w:tcPr>
          <w:p>
            <w:r>
              <w:rPr>
                <w:b/>
                <w:bCs/>
              </w:rPr>
              <w:t xml:space="preserve">Also feeds Appendix C's threshold, not just D1's magnitude.</w:t>
            </w:r>
            <w:r>
              <w:t xml:space="preserve"> </w:t>
            </w:r>
            <w:r>
              <w:rPr>
                <w:rFonts w:ascii="Courier New" w:cs="Courier New" w:eastAsia="Courier New" w:hAnsi="Courier New"/>
              </w:rPr>
              <w:t xml:space="preserve">weeks_remaining</w:t>
            </w:r>
            <w:r>
              <w:t xml:space="preserve"> sets the threshold formula's week term (50 events/week [S2] × weeks_remaining × $20/conversion [MA3]). At 5 weeks the threshold is $5,000/variant. Raising this to 7.5 weeks (+50%) raises the threshold to $7,500/variant — at the case's current $60,000 budget, Full Rotation's $10,000/variant split still clears that raised threshold, with $2,500 (33%) to spare.</w:t>
            </w:r>
          </w:p>
        </w:tc>
      </w:tr>
      <w:tr>
        <w:tc>
          <w:tcPr>
            <w:tcW w:type="dxa" w:w="1800"/>
          </w:tcPr>
          <w:p>
            <w:r>
              <w:t xml:space="preserve">MA2</w:t>
            </w:r>
          </w:p>
        </w:tc>
        <w:tc>
          <w:tcPr>
            <w:tcW w:type="dxa" w:w="1800"/>
          </w:tcPr>
          <w:p>
            <w:r>
              <w:t xml:space="preserve">Total fixed ad-spend budget for the quarter's test</w:t>
            </w:r>
          </w:p>
        </w:tc>
        <w:tc>
          <w:tcPr>
            <w:tcW w:type="dxa" w:w="1800"/>
          </w:tcPr>
          <w:p>
            <w:r>
              <w:t xml:space="preserve">$60,000</w:t>
            </w:r>
          </w:p>
        </w:tc>
        <w:tc>
          <w:tcPr>
            <w:tcW w:type="dxa" w:w="1800"/>
          </w:tcPr>
          <w:p>
            <w:r>
              <w:t xml:space="preserve">Also a detail internal to Jaylen's fictional employer's already-locked budget — unsourceable by construction. A defensible quarterly paid-social test budget for a mid-size direct-to-consumer brand's single sponsored-video campaign cycle. Divides evenly by 6 variants ($10,000/variant) for clean D2 arithmetic — double Appendix C's $5,000/variant minimum-viable-spend threshold, not exactly at it.</w:t>
            </w:r>
          </w:p>
        </w:tc>
        <w:tc>
          <w:tcPr>
            <w:tcW w:type="dxa" w:w="1800"/>
          </w:tcPr>
          <w:p>
            <w:r>
              <w:rPr>
                <w:b/>
                <w:bCs/>
              </w:rPr>
              <w:t xml:space="preserve">This is the load-bearing number for D3/D4.</w:t>
            </w:r>
            <w:r>
              <w:t xml:space="preserve"> At $60,000, every Full Rotation variant's $10,000 split spend clears the Appendix C threshold with room to spare, so no variant is excluded from D4's attributable-conversions total. Below $30,000 total, one or more Full Rotation variants would fall short of the threshold and must be excluded, which would change the D4 comparison materially — this is exactly what D3's clearance table is for.</w:t>
            </w:r>
          </w:p>
        </w:tc>
      </w:tr>
      <w:tr>
        <w:tc>
          <w:tcPr>
            <w:tcW w:type="dxa" w:w="1800"/>
          </w:tcPr>
          <w:p>
            <w:r>
              <w:t xml:space="preserve">MA3</w:t>
            </w:r>
          </w:p>
        </w:tc>
        <w:tc>
          <w:tcPr>
            <w:tcW w:type="dxa" w:w="1800"/>
          </w:tcPr>
          <w:p>
            <w:r>
              <w:t xml:space="preserve">Assumed average cost per attributable conversion</w:t>
            </w:r>
          </w:p>
        </w:tc>
        <w:tc>
          <w:tcPr>
            <w:tcW w:type="dxa" w:w="1800"/>
          </w:tcPr>
          <w:p>
            <w:r>
              <w:t xml:space="preserve">$20</w:t>
            </w:r>
          </w:p>
        </w:tc>
        <w:tc>
          <w:tcPr>
            <w:tcW w:type="dxa" w:w="1800"/>
          </w:tcPr>
          <w:p>
            <w:r>
              <w:t xml:space="preserve">Neither Meta nor Google publishes an official dollar minimum-spend threshold (only conversion-count thresholds — see S1, S2). Converting the sourced conversion-count threshold into a dollar figure usable in Challenge D3 requires a cost-per-conversion estimate. Public per-conversion cost figures found during research ranged roughly $2–$60 across non-primary sources with no single authoritative figure freely available; $20 is a round mid-range figure chosen for clean classroom arithmetic, not a cited statistic.</w:t>
            </w:r>
          </w:p>
        </w:tc>
        <w:tc>
          <w:tcPr>
            <w:tcW w:type="dxa" w:w="1800"/>
          </w:tcPr>
          <w:p>
            <w:r>
              <w:t xml:space="preserve">Raising this assumption raises the Appendix C dollar threshold (harder for Full Rotation to clear); at the current $60,000 budget, Full Rotation's $10,000/variant split clears the threshold even at a +50% move (raises the threshold to $7,500/variant, still $2,500 below the split).</w:t>
            </w:r>
          </w:p>
        </w:tc>
      </w:tr>
      <w:tr>
        <w:tc>
          <w:tcPr>
            <w:tcW w:type="dxa" w:w="1800"/>
          </w:tcPr>
          <w:p>
            <w:r>
              <w:t xml:space="preserve">MA4</w:t>
            </w:r>
          </w:p>
        </w:tc>
        <w:tc>
          <w:tcPr>
            <w:tcW w:type="dxa" w:w="1800"/>
          </w:tcPr>
          <w:p>
            <w:r>
              <w:t xml:space="preserve">Industry benchmark conversion rate used in D4</w:t>
            </w:r>
          </w:p>
        </w:tc>
        <w:tc>
          <w:tcPr>
            <w:tcW w:type="dxa" w:w="1800"/>
          </w:tcPr>
          <w:p>
            <w:r>
              <w:t xml:space="preserve">2% (stated range 1%–3%)</w:t>
            </w:r>
          </w:p>
        </w:tc>
        <w:tc>
          <w:tcPr>
            <w:tcW w:type="dxa" w:w="1800"/>
          </w:tcPr>
          <w:p>
            <w:r>
              <w:t xml:space="preserve">Publicly visible conversion-rate figures for paid-social/influencer video are a </w:t>
            </w:r>
            <w:r>
              <w:rPr>
                <w:b/>
                <w:bCs/>
              </w:rPr>
              <w:t xml:space="preserve">contested figure</w:t>
            </w:r>
            <w:r>
              <w:t xml:space="preserve">: search turned up numbers from under 1% to over 14% depending on the site, funnel stage, and industry mix, with no shared primary source; IAB does not publish a free point figure and eMarketer's benchmark data is subscription-gated (confirmed via a direct fetch that returned a 404 on the free page). 2% is stated as a reasonable typical value for this scenario, not a cited fact.</w:t>
            </w:r>
          </w:p>
        </w:tc>
        <w:tc>
          <w:tcPr>
            <w:tcW w:type="dxa" w:w="1800"/>
          </w:tcPr>
          <w:p>
            <w:r>
              <w:t xml:space="preserve">Applies identically to both options in the D4 conversions-per-dollar calculation, so it does not by itself flip the recommendation — that flip is driven by MA2/MA3.</w:t>
            </w:r>
          </w:p>
        </w:tc>
      </w:tr>
      <w:tr>
        <w:tc>
          <w:tcPr>
            <w:tcW w:type="dxa" w:w="1800"/>
          </w:tcPr>
          <w:p>
            <w:r>
              <w:t xml:space="preserve">MA5</w:t>
            </w:r>
          </w:p>
        </w:tc>
        <w:tc>
          <w:tcPr>
            <w:tcW w:type="dxa" w:w="1800"/>
          </w:tcPr>
          <w:p>
            <w:r>
              <w:t xml:space="preserve">Industry benchmark CPM used in D4</w:t>
            </w:r>
          </w:p>
        </w:tc>
        <w:tc>
          <w:tcPr>
            <w:tcW w:type="dxa" w:w="1800"/>
          </w:tcPr>
          <w:p>
            <w:r>
              <w:t xml:space="preserve">$15 (stated range $10–$20)</w:t>
            </w:r>
          </w:p>
        </w:tc>
        <w:tc>
          <w:tcPr>
            <w:tcW w:type="dxa" w:w="1800"/>
          </w:tcPr>
          <w:p>
            <w:r>
              <w:t xml:space="preserve">Same contested-figure situation as MA4: found CPM figures ranged from about $7 to $30+ across non-primary aggregator sources with no authoritative convergence, and eMarketer's paid data was not accessible. $15 stated as a reasonable typical value, not a cited fact.</w:t>
            </w:r>
          </w:p>
        </w:tc>
        <w:tc>
          <w:tcPr>
            <w:tcW w:type="dxa" w:w="1800"/>
          </w:tcPr>
          <w:p>
            <w:r>
              <w:t xml:space="preserve">Applies identically to both options; does not independently flip the recommendation.</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Google Ads' recommended minimum conversion volume for a statistically reliable Smart Bidding performance read</w:t>
            </w:r>
          </w:p>
        </w:tc>
        <w:tc>
          <w:tcPr>
            <w:tcW w:type="dxa" w:w="1500"/>
          </w:tcPr>
          <w:p>
            <w:r>
              <w:t xml:space="preserve">30 conversions / 30-day month (50 for Target ROAS)</w:t>
            </w:r>
          </w:p>
        </w:tc>
        <w:tc>
          <w:tcPr>
            <w:tcW w:type="dxa" w:w="1500"/>
          </w:tcPr>
          <w:p>
            <w:r>
              <w:t xml:space="preserve">Google — </w:t>
            </w:r>
            <w:hyperlink w:history="1" r:id="rIdgacptjh7jfgzszjbup5h7">
              <w:r>
                <w:rPr>
                  <w:rStyle w:val="Hyperlink"/>
                </w:rPr>
                <w:t xml:space="preserve">About Smart Bidding</w:t>
              </w:r>
            </w:hyperlink>
          </w:p>
        </w:tc>
        <w:tc>
          <w:tcPr>
            <w:tcW w:type="dxa" w:w="1500"/>
          </w:tcPr>
          <w:p>
            <w:r>
              <w:t xml:space="preserve">Accessed 2026-08-27 (page undated)</w:t>
            </w:r>
          </w:p>
        </w:tc>
        <w:tc>
          <w:tcPr>
            <w:tcW w:type="dxa" w:w="1500"/>
          </w:tcPr>
          <w:p>
            <w:r>
              <w:t xml:space="preserve">MEDIUM</w:t>
            </w:r>
          </w:p>
        </w:tc>
      </w:tr>
      <w:tr>
        <w:tc>
          <w:tcPr>
            <w:tcW w:type="dxa" w:w="1500"/>
          </w:tcPr>
          <w:p>
            <w:r>
              <w:t xml:space="preserve">S2</w:t>
            </w:r>
          </w:p>
        </w:tc>
        <w:tc>
          <w:tcPr>
            <w:tcW w:type="dxa" w:w="1500"/>
          </w:tcPr>
          <w:p>
            <w:r>
              <w:t xml:space="preserve">Meta's stated minimum optimization-event volume for an ad set to exit the Learning phase</w:t>
            </w:r>
          </w:p>
        </w:tc>
        <w:tc>
          <w:tcPr>
            <w:tcW w:type="dxa" w:w="1500"/>
          </w:tcPr>
          <w:p>
            <w:r>
              <w:t xml:space="preserve">50 optimization events / 7-day week</w:t>
            </w:r>
          </w:p>
        </w:tc>
        <w:tc>
          <w:tcPr>
            <w:tcW w:type="dxa" w:w="1500"/>
          </w:tcPr>
          <w:p>
            <w:r>
              <w:t xml:space="preserve">Meta — </w:t>
            </w:r>
            <w:hyperlink w:history="1" r:id="rIdxoztcsddepclzjqlig5b1">
              <w:r>
                <w:rPr>
                  <w:rStyle w:val="Hyperlink"/>
                </w:rPr>
                <w:t xml:space="preserve">About learning limited</w:t>
              </w:r>
            </w:hyperlink>
            <w:r>
              <w:t xml:space="preserve">, Meta Business Help Center</w:t>
            </w:r>
          </w:p>
        </w:tc>
        <w:tc>
          <w:tcPr>
            <w:tcW w:type="dxa" w:w="1500"/>
          </w:tcPr>
          <w:p>
            <w:r>
              <w:t xml:space="preserve">Accessed 2026-08-26 (page undated; confirmed via search snippet, direct fetch of page body was not possible)</w:t>
            </w:r>
          </w:p>
        </w:tc>
        <w:tc>
          <w:tcPr>
            <w:tcW w:type="dxa" w:w="1500"/>
          </w:tcPr>
          <w:p>
            <w:r>
              <w:t xml:space="preserve">MEDIUM</w:t>
            </w:r>
          </w:p>
        </w:tc>
      </w:tr>
    </w:tbl>
    <w:p/>
    <w:p>
      <w:r>
        <w:t xml:space="preserve">All figures not listed above are stated Modeling Assumptions (SEE APPENDIX E) — never silently invented, per this case's anti-fabrication policy.</w:t>
      </w:r>
    </w:p>
    <w:p>
      <w:pPr>
        <w:pStyle w:val="Heading2"/>
        <w:spacing w:after="120" w:before="240"/>
      </w:pPr>
      <w:r>
        <w:t xml:space="preserve">Appendix G — "How To…" Math Questions To Research</w:t>
      </w:r>
    </w:p>
    <w:p>
      <w:r>
        <w:rPr>
          <w:b/>
          <w:bCs/>
        </w:rPr>
        <w:t xml:space="preserve">Vocabulary terms</w:t>
      </w:r>
    </w:p>
    <w:p>
      <w:pPr>
        <w:ind w:left="360"/>
      </w:pPr>
      <w:r>
        <w:t xml:space="preserve">- Permutation</w:t>
      </w:r>
    </w:p>
    <w:p>
      <w:pPr>
        <w:ind w:left="360"/>
      </w:pPr>
      <w:r>
        <w:t xml:space="preserve">- Division</w:t>
      </w:r>
    </w:p>
    <w:p>
      <w:pPr>
        <w:ind w:left="360"/>
      </w:pPr>
      <w:r>
        <w:t xml:space="preserve">- Percent</w:t>
      </w:r>
    </w:p>
    <w:p>
      <w:r>
        <w:rPr>
          <w:b/>
          <w:bCs/>
        </w:rPr>
        <w:t xml:space="preserve">"How to…" questions</w:t>
      </w:r>
    </w:p>
    <w:p>
      <w:pPr>
        <w:ind w:left="360"/>
      </w:pPr>
      <w:r>
        <w:t xml:space="preserve">- How to determine the number of outcomes of a permutation</w:t>
      </w:r>
    </w:p>
    <w:p>
      <w:pPr>
        <w:ind w:left="360"/>
      </w:pPr>
      <w:r>
        <w:t xml:space="preserve">- How to divide decimal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cptjh7jfgzszjbup5h7" Type="http://schemas.openxmlformats.org/officeDocument/2006/relationships/hyperlink" Target="https://support.google.com/google-ads/answer/7065882?hl=en" TargetMode="External"/><Relationship Id="rIdxoztcsddepclzjqlig5b1" Type="http://schemas.openxmlformats.org/officeDocument/2006/relationships/hyperlink" Target="https://en-gb.facebook.com/business/help/26926973739698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2026-08-30T22:20:23.270Z</dcterms:created>
  <dcterms:modified xsi:type="dcterms:W3CDTF">2026-08-30T22:20:23.274Z</dcterms:modified>
</cp:coreProperties>
</file>

<file path=docProps/custom.xml><?xml version="1.0" encoding="utf-8"?>
<Properties xmlns="http://schemas.openxmlformats.org/officeDocument/2006/custom-properties" xmlns:vt="http://schemas.openxmlformats.org/officeDocument/2006/docPropsVTypes"/>
</file>