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40"/>
          <w:szCs w:val="40"/>
        </w:rPr>
        <w:t xml:space="preserve">Case Study: Prove It Scales</w:t>
      </w:r>
    </w:p>
    <w:p>
      <w:pPr>
        <w:spacing w:after="300"/>
        <w:jc w:val="center"/>
      </w:pPr>
      <w:r>
        <w:rPr>
          <w:i/>
          <w:iCs/>
          <w:color w:val="5b6472"/>
          <w:sz w:val="20"/>
          <w:szCs w:val="20"/>
        </w:rPr>
        <w:t xml:space="preserve">MS | Math | Case Study | 2026-27 | Adventure</w:t>
      </w:r>
    </w:p>
    <w:p>
      <w:pPr>
        <w:pStyle w:val="Heading2"/>
        <w:spacing w:after="120" w:before="220"/>
      </w:pPr>
      <w:r>
        <w:rPr>
          <w:b/>
          <w:bCs/>
          <w:color w:val="1a3a5c"/>
          <w:sz w:val="26"/>
          <w:szCs w:val="26"/>
        </w:rPr>
        <w:t xml:space="preserve">Overview</w:t>
      </w:r>
    </w:p>
    <w:p>
      <w:pPr>
        <w:spacing w:after="160"/>
      </w:pPr>
      <w:r>
        <w:t xml:space="preserve">Devon Achebe has two terminal windows open side by side, and one of them is still running.</w:t>
      </w:r>
    </w:p>
    <w:p>
      <w:pPr>
        <w:spacing w:after="160"/>
      </w:pPr>
      <w:r>
        <w:t xml:space="preserve">The left window reads recursive_rollup_test... PASS, account hierarchy after account hierarchy — each pass another quiet confirmation that the function does exactly what its induction argument says it must. The right window holds a chart on Devon's second monitor, still climbing, its line pushing further into red every time the test suite reaches an account nested a little deeper.</w:t>
      </w:r>
    </w:p>
    <w:p>
      <w:pPr>
        <w:spacing w:after="160"/>
      </w:pPr>
      <w:r>
        <w:t xml:space="preserve">It's the night before the release freeze for Meterworks' billing engine, and Devon decides which version of RollUpCharges ships — the function that walks every customer's nested account tree, turning raw usage events into the number that lands on somebody's invoice. Ship the wrong version, and customers could get billed the wrong amount, or the night's whole invoice run could hang.</w:t>
      </w:r>
    </w:p>
    <w:p>
      <w:pPr>
        <w:spacing w:after="160"/>
      </w:pPr>
      <w:r>
        <w:t xml:space="preserve">Devon pulls the two branches up side by side. On the left: fewer lines of code, and a written proof — base case and inductive step — that the recursive version is correct for a hierarchy of any depth. On the right: no proof, just a comment reading // walked this by hand, seems fine, and a runtime graph that barely moves no matter how deep the tree goes.</w:t>
      </w:r>
    </w:p>
    <w:p>
      <w:pPr>
        <w:spacing w:after="160"/>
      </w:pPr>
      <w:r>
        <w:t xml:space="preserve">One fact Devon has to take as given tonight: the left-hand version runs fine on some computer setups. But on the setup this company will actually use, it doesn't get a speed-up trick some other setups get — so it can go from fast to explosively slow as the account structure nests deeper, with no way around that on this company's setup.</w:t>
      </w:r>
    </w:p>
    <w:p>
      <w:pPr>
        <w:spacing w:after="160"/>
      </w:pPr>
      <w:r>
        <w:t xml:space="preserve">Devon's phone buzzes, face-down. A message from the platform team, subject line visible: which language runtime the release will actually ship on.</w:t>
      </w:r>
    </w:p>
    <w:p>
      <w:pPr>
        <w:spacing w:after="160"/>
      </w:pPr>
      <w:r>
        <w:t xml:space="preserve">Devon doesn't turn it over yet.</w:t>
      </w:r>
    </w:p>
    <w:p>
      <w:pPr>
        <w:pStyle w:val="Heading2"/>
        <w:spacing w:after="120" w:before="220"/>
      </w:pPr>
      <w:r>
        <w:rPr>
          <w:b/>
          <w:bCs/>
          <w:color w:val="1a3a5c"/>
          <w:sz w:val="26"/>
          <w:szCs w:val="26"/>
        </w:rPr>
        <w:t xml:space="preserve">Background</w:t>
      </w:r>
    </w:p>
    <w:p>
      <w:pPr>
        <w:spacing w:after="160"/>
      </w:pPr>
      <w:r>
        <w:t xml:space="preserve">Devon Achebe is a senior software engineer on the Billing Aggregation team at Meterworks, a usage-metering and billing platform that other software companies plug into so they can bill their own customers by consumption — API calls, compute-seconds, storage, however each customer's product is metered. Devon owns RollUpCharges, the function that turns raw usage events into a final billing total for every account in Meterworks' system, including accounts nested inside other accounts — a parent organization with sub-accounts, sub-accounts with their own sub-accounts underneath, arbitrarily deep (SEE APPENDIX A). The function is recursive by nature: computing a parent account's total requires first having the already-computed totals of every child account beneath it.</w:t>
      </w:r>
    </w:p>
    <w:p>
      <w:pPr>
        <w:spacing w:after="160"/>
      </w:pPr>
      <w:r>
        <w:t xml:space="preserve">Two implementations are ready to ship, and Devon must recommend one before the release freeze.</w:t>
      </w:r>
    </w:p>
    <w:p>
      <w:pPr>
        <w:spacing w:after="160"/>
      </w:pPr>
      <w:r>
        <w:rPr>
          <w:b/>
          <w:bCs/>
        </w:rPr>
        <w:t xml:space="preserve">The Provable Path</w:t>
      </w:r>
      <w:r>
        <w:t xml:space="preserve"> is written as a direct translation of that recursive definition: a base case for an account with no children, and an inductive step that combines a parent account's own usage events with the already-computed totals of its children. Because it mirrors the mathematical recurrence exactly, Devon can prove — by induction on hierarchy depth — that it produces the correct total for every account, at every depth (SEE APPENDIX B).</w:t>
      </w:r>
    </w:p>
    <w:p>
      <w:pPr>
        <w:spacing w:after="160"/>
      </w:pPr>
      <w:r>
        <w:rPr>
          <w:b/>
          <w:bCs/>
        </w:rPr>
        <w:t xml:space="preserve">The Guaranteed Floor</w:t>
      </w:r>
      <w:r>
        <w:t xml:space="preserve"> rewrites the same logic as an explicit loop over a flattened, depth-ordered list of accounts, with a per-call cost that holds steady no matter how deep any one hierarchy goes. Its correctness rests on a walkthrough of representative test hierarchies, not a proof (SEE APPENDIX C).</w:t>
      </w:r>
    </w:p>
    <w:p>
      <w:pPr>
        <w:spacing w:after="160"/>
      </w:pPr>
      <w:r>
        <w:t xml:space="preserve">The two implementations' real runtime cost does not diverge by one fixed amount — it depends on a simple fact about the computer setup Meterworks actually ships the billing engine on: some setups have a speed-up trick that makes the recursive version's repeated step almost free, and some don't (SEE APPENDIX B and APPENDIX D — that trick has a technical name, defined in Appendix G for anyone who wants to look it up). On a setup that has the trick, the two implementations run close to identically fast. On a setup that doesn't, the recursive version costs substantially more per call, and the gap widens further — explosively — as hierarchy depth grows (SEE APPENDIX D). Meterworks' billing pipeline runs against a fixed nightly compute budget and a fixed per-batch latency SLA that the next release must not miss (SEE APPENDIX A).</w:t>
      </w:r>
    </w:p>
    <w:p>
      <w:pPr>
        <w:spacing w:after="160"/>
      </w:pPr>
      <w:r>
        <w:t xml:space="preserve">Billing-aggregation code carries its own history at Meterworks: the team has already shipped one production defect where a recursive rollup's own assumption — true at the top of an account tree — silently failed once an already-aggregated intermediate result was fed back into the same function one level down, producing a billing total that did not match reality. That incident is why a formal correctness argument is on the table for this release at all, not only a performance question — a documented industry precedent of exactly this failure shape exists outside Meterworks as well (SEE APPENDIX E). Full source citations for every figure in this case are in APPENDIX F.</w:t>
      </w:r>
    </w:p>
    <w:p>
      <w:pPr>
        <w:pStyle w:val="Heading2"/>
        <w:spacing w:after="120" w:before="220"/>
      </w:pPr>
      <w:r>
        <w:rPr>
          <w:b/>
          <w:bCs/>
          <w:color w:val="1a3a5c"/>
          <w:sz w:val="26"/>
          <w:szCs w:val="26"/>
        </w:rPr>
        <w:t xml:space="preserve">Dilemma</w:t>
      </w:r>
    </w:p>
    <w:p>
      <w:pPr>
        <w:spacing w:after="160"/>
      </w:pPr>
      <w:r>
        <w:t xml:space="preserve">You are Devon Achebe.</w:t>
      </w:r>
    </w:p>
    <w:p>
      <w:pPr>
        <w:spacing w:after="160"/>
      </w:pPr>
      <w:r>
        <w:t xml:space="preserve">Do you:</w:t>
      </w:r>
    </w:p>
    <w:p>
      <w:pPr>
        <w:spacing w:after="160"/>
      </w:pPr>
      <w:r>
        <w:rPr>
          <w:b/>
          <w:bCs/>
        </w:rPr>
        <w:t xml:space="preserve">A.) </w:t>
      </w:r>
      <w:r>
        <w:t xml:space="preserve">Ship the Provable Path — the recursive RollUpCharges, proven correct for every account-hierarchy depth by mathematical induction </w:t>
      </w:r>
      <w:r>
        <w:rPr>
          <w:b/>
          <w:bCs/>
        </w:rPr>
        <w:t xml:space="preserve">OR</w:t>
      </w:r>
    </w:p>
    <w:p>
      <w:pPr>
        <w:spacing w:after="160"/>
      </w:pPr>
      <w:r>
        <w:rPr>
          <w:b/>
          <w:bCs/>
        </w:rPr>
        <w:t xml:space="preserve">B.) </w:t>
      </w:r>
      <w:r>
        <w:t xml:space="preserve">Ship the Guaranteed Floor — the iterative rewrite, with a flat per-call runtime cost that does not depend on whether this company's computer setup happens to have the speed-up trick or not</w:t>
      </w:r>
    </w:p>
    <w:p>
      <w:pPr>
        <w:pStyle w:val="Heading2"/>
        <w:spacing w:after="120" w:before="220"/>
      </w:pPr>
      <w:r>
        <w:rPr>
          <w:b/>
          <w:bCs/>
          <w:color w:val="1a3a5c"/>
          <w:sz w:val="26"/>
          <w:szCs w:val="26"/>
        </w:rPr>
        <w:t xml:space="preserve">Challenges</w:t>
      </w:r>
    </w:p>
    <w:p>
      <w:pPr>
        <w:pStyle w:val="ListParagraph"/>
        <w:numPr>
          <w:ilvl w:val="0"/>
          <w:numId w:val="2"/>
        </w:numPr>
        <w:spacing w:after="120"/>
      </w:pPr>
      <w:r>
        <w:t xml:space="preserve">Research and find an online resource that answers one of the “how to…” questions from the case study launch. Post a link to the resource as your submission.</w:t>
      </w:r>
    </w:p>
    <w:p>
      <w:pPr>
        <w:pStyle w:val="ListParagraph"/>
        <w:numPr>
          <w:ilvl w:val="0"/>
          <w:numId w:val="2"/>
        </w:numPr>
        <w:spacing w:after="120"/>
      </w:pPr>
      <w:r>
        <w:t xml:space="preserve">Post 250 or more “excellent” words pitching a firm stance to your audience on which you would choose and why. Your pitch must include: a.) Use of the “how to…” resource you researched in Challenge 1. b.) At least one original visual display of the data.</w:t>
      </w:r>
    </w:p>
    <w:p>
      <w:pPr>
        <w:pStyle w:val="ListParagraph"/>
        <w:numPr>
          <w:ilvl w:val="0"/>
          <w:numId w:val="2"/>
        </w:numPr>
        <w:spacing w:after="120"/>
      </w:pPr>
      <w:r>
        <w:t xml:space="preserve">Include the following:</w:t>
      </w:r>
    </w:p>
    <w:p>
      <w:pPr>
        <w:pStyle w:val="ListParagraph"/>
        <w:numPr>
          <w:ilvl w:val="0"/>
          <w:numId w:val="3"/>
        </w:numPr>
        <w:spacing w:after="100"/>
      </w:pPr>
      <w:r>
        <w:t xml:space="preserve">D1 — An induction proof that RollUpCharges's recursive version is correct for every account-hierarchy depth. State the base case explicitly, state the inductive step explicitly, and write the closing argument that connects the two into a proof for a hierarchy of any depth.</w:t>
      </w:r>
    </w:p>
    <w:p>
      <w:pPr>
        <w:pStyle w:val="ListParagraph"/>
        <w:numPr>
          <w:ilvl w:val="0"/>
          <w:numId w:val="3"/>
        </w:numPr>
        <w:spacing w:after="100"/>
      </w:pPr>
      <w:r>
        <w:t xml:space="preserve">D2 — A labeled recursion trace on a sample account hierarchy. Draw or diagram the recursive version executing on a small sample hierarchy (at least three levels deep), marking which call is the base case and which calls are inductive-step invocations.</w:t>
      </w:r>
    </w:p>
    <w:p>
      <w:pPr>
        <w:pStyle w:val="ListParagraph"/>
        <w:numPr>
          <w:ilvl w:val="0"/>
          <w:numId w:val="3"/>
        </w:numPr>
        <w:spacing w:after="100"/>
      </w:pPr>
      <w:r>
        <w:t xml:space="preserve">D3 — A per-call cost interpretation. Using the inductive step you named in D1, explain in your own words why the recursive version performs one full combine operation per level of the account hierarchy, and use that structural fact to interpret Appendix D's measured runtime figures for the recursive implementation.</w:t>
      </w:r>
    </w:p>
    <w:p>
      <w:pPr>
        <w:pStyle w:val="ListParagraph"/>
        <w:numPr>
          <w:ilvl w:val="0"/>
          <w:numId w:val="3"/>
        </w:numPr>
        <w:spacing w:after="100"/>
      </w:pPr>
      <w:r>
        <w:t xml:space="preserve">D4 — A runtime comparison table. Milliseconds per 10,000 billing rollups for the iterative version and for the recursive version (under both a tail-call-optimizing runtime and a non-tail-call-optimizing runtime), at three account-hierarchy depths (Appendix D). Add a column showing the number of inductive-step invocations each depth requires.</w:t>
      </w:r>
    </w:p>
    <w:p>
      <w:pPr>
        <w:pStyle w:val="ListParagraph"/>
        <w:numPr>
          <w:ilvl w:val="0"/>
          <w:numId w:val="3"/>
        </w:numPr>
        <w:spacing w:after="100"/>
      </w:pPr>
      <w:r>
        <w:t xml:space="preserve">D5 — A recommendation memo. State which version Devon should ship, defended with D1's proof status, D4's numbers, and Appendix A's target-runtime fact — including whether the Provable Path's induction guarantee remains true regardless of which runtime it runs on, and whether that guarantee is worth the runtime cost D4 shows under the runtime Meterworks actually plans to ship to.</w:t>
      </w:r>
    </w:p>
    <w:p>
      <w:pPr>
        <w:pStyle w:val="ListParagraph"/>
        <w:numPr>
          <w:ilvl w:val="0"/>
          <w:numId w:val="2"/>
        </w:numPr>
        <w:spacing w:after="120"/>
      </w:pPr>
      <w:r>
        <w:t xml:space="preserve">An appendix showing evidence of your original thinking, work, calculations and processes you used to complete the challenges (pictures, screenshots, notes, etc.). Your work in the appendix does not count toward your word count.</w:t>
      </w:r>
    </w:p>
    <w:p>
      <w:pPr>
        <w:pStyle w:val="ListParagraph"/>
        <w:numPr>
          <w:ilvl w:val="0"/>
          <w:numId w:val="2"/>
        </w:numPr>
        <w:spacing w:after="120"/>
      </w:pPr>
      <w:r>
        <w:rPr>
          <w:i/>
          <w:iCs/>
        </w:rPr>
        <w:t xml:space="preserve">Participate twice or more in the Case Study discussion. If you are absent the day of a discussion post 500 “excellent” words on the questions above.</w:t>
      </w:r>
    </w:p>
    <w:p>
      <w:pPr>
        <w:pStyle w:val="Heading2"/>
        <w:spacing w:after="120" w:before="220"/>
      </w:pPr>
      <w:r>
        <w:rPr>
          <w:b/>
          <w:bCs/>
          <w:color w:val="1a3a5c"/>
          <w:sz w:val="26"/>
          <w:szCs w:val="26"/>
        </w:rPr>
        <w:t xml:space="preserve">Appendix A: Meterworks' Billing Pipeline Constraints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400"/>
        <w:gridCol w:w="4700"/>
      </w:tblGrid>
      <w:tr>
        <w:trPr>
          <w:tblHeader/>
        </w:trPr>
        <w:tc>
          <w:tcPr>
            <w:tcW w:type="dxa" w:w="5400"/>
            <w:shd w:fill="1a3a5c" w:val="clear"/>
            <w:tcMar>
              <w:top w:type="dxa" w:w="80"/>
              <w:left w:type="dxa" w:w="100"/>
              <w:bottom w:type="dxa" w:w="80"/>
              <w:right w:type="dxa" w:w="100"/>
            </w:tcMar>
          </w:tcPr>
          <w:p>
            <w:r>
              <w:rPr>
                <w:b/>
                <w:bCs/>
                <w:color w:val="FFFFFF"/>
                <w:sz w:val="20"/>
                <w:szCs w:val="20"/>
              </w:rPr>
              <w:t xml:space="preserve">Quantity</w:t>
            </w:r>
          </w:p>
        </w:tc>
        <w:tc>
          <w:tcPr>
            <w:tcW w:type="dxa" w:w="4700"/>
            <w:shd w:fill="1a3a5c" w:val="clear"/>
            <w:tcMar>
              <w:top w:type="dxa" w:w="80"/>
              <w:left w:type="dxa" w:w="100"/>
              <w:bottom w:type="dxa" w:w="80"/>
              <w:right w:type="dxa" w:w="100"/>
            </w:tcMar>
          </w:tcPr>
          <w:p>
            <w:r>
              <w:rPr>
                <w:b/>
                <w:bCs/>
                <w:color w:val="FFFFFF"/>
                <w:sz w:val="20"/>
                <w:szCs w:val="20"/>
              </w:rPr>
              <w:t xml:space="preserve">Value</w:t>
            </w:r>
          </w:p>
        </w:tc>
      </w:tr>
      <w:tr>
        <w:tc>
          <w:tcPr>
            <w:tcW w:type="dxa" w:w="5400"/>
            <w:tcMar>
              <w:top w:type="dxa" w:w="80"/>
              <w:left w:type="dxa" w:w="100"/>
              <w:bottom w:type="dxa" w:w="80"/>
              <w:right w:type="dxa" w:w="100"/>
            </w:tcMar>
          </w:tcPr>
          <w:p>
            <w:r>
              <w:rPr>
                <w:b w:val="false"/>
                <w:bCs w:val="false"/>
                <w:color w:val="000000"/>
                <w:sz w:val="20"/>
                <w:szCs w:val="20"/>
              </w:rPr>
              <w:t xml:space="preserve">Days from case launch to the release freeze</w:t>
            </w:r>
          </w:p>
        </w:tc>
        <w:tc>
          <w:tcPr>
            <w:tcW w:type="dxa" w:w="4700"/>
            <w:tcMar>
              <w:top w:type="dxa" w:w="80"/>
              <w:left w:type="dxa" w:w="100"/>
              <w:bottom w:type="dxa" w:w="80"/>
              <w:right w:type="dxa" w:w="100"/>
            </w:tcMar>
          </w:tcPr>
          <w:p>
            <w:r>
              <w:rPr>
                <w:b w:val="false"/>
                <w:bCs w:val="false"/>
                <w:color w:val="000000"/>
                <w:sz w:val="20"/>
                <w:szCs w:val="20"/>
              </w:rPr>
              <w:t xml:space="preserve">3 days [MA1]</w:t>
            </w:r>
          </w:p>
        </w:tc>
      </w:tr>
      <w:tr>
        <w:tc>
          <w:tcPr>
            <w:tcW w:type="dxa" w:w="5400"/>
            <w:shd w:fill="F7F9FB" w:val="clear"/>
            <w:tcMar>
              <w:top w:type="dxa" w:w="80"/>
              <w:left w:type="dxa" w:w="100"/>
              <w:bottom w:type="dxa" w:w="80"/>
              <w:right w:type="dxa" w:w="100"/>
            </w:tcMar>
          </w:tcPr>
          <w:p>
            <w:r>
              <w:rPr>
                <w:b w:val="false"/>
                <w:bCs w:val="false"/>
                <w:color w:val="000000"/>
                <w:sz w:val="20"/>
                <w:szCs w:val="20"/>
              </w:rPr>
              <w:t xml:space="preserve">Maximum account-hierarchy nesting depth observed among current Meterworks customers</w:t>
            </w:r>
          </w:p>
        </w:tc>
        <w:tc>
          <w:tcPr>
            <w:tcW w:type="dxa" w:w="4700"/>
            <w:shd w:fill="F7F9FB" w:val="clear"/>
            <w:tcMar>
              <w:top w:type="dxa" w:w="80"/>
              <w:left w:type="dxa" w:w="100"/>
              <w:bottom w:type="dxa" w:w="80"/>
              <w:right w:type="dxa" w:w="100"/>
            </w:tcMar>
          </w:tcPr>
          <w:p>
            <w:r>
              <w:rPr>
                <w:b w:val="false"/>
                <w:bCs w:val="false"/>
                <w:color w:val="000000"/>
                <w:sz w:val="20"/>
                <w:szCs w:val="20"/>
              </w:rPr>
              <w:t xml:space="preserve">5 levels [S5]</w:t>
            </w:r>
          </w:p>
        </w:tc>
      </w:tr>
      <w:tr>
        <w:tc>
          <w:tcPr>
            <w:tcW w:type="dxa" w:w="5400"/>
            <w:tcMar>
              <w:top w:type="dxa" w:w="80"/>
              <w:left w:type="dxa" w:w="100"/>
              <w:bottom w:type="dxa" w:w="80"/>
              <w:right w:type="dxa" w:w="100"/>
            </w:tcMar>
          </w:tcPr>
          <w:p>
            <w:r>
              <w:rPr>
                <w:b w:val="false"/>
                <w:bCs w:val="false"/>
                <w:color w:val="000000"/>
                <w:sz w:val="20"/>
                <w:szCs w:val="20"/>
              </w:rPr>
              <w:t xml:space="preserve">Billing rollup calls processed per night across all customer accounts</w:t>
            </w:r>
          </w:p>
        </w:tc>
        <w:tc>
          <w:tcPr>
            <w:tcW w:type="dxa" w:w="4700"/>
            <w:tcMar>
              <w:top w:type="dxa" w:w="80"/>
              <w:left w:type="dxa" w:w="100"/>
              <w:bottom w:type="dxa" w:w="80"/>
              <w:right w:type="dxa" w:w="100"/>
            </w:tcMar>
          </w:tcPr>
          <w:p>
            <w:r>
              <w:rPr>
                <w:b w:val="false"/>
                <w:bCs w:val="false"/>
                <w:color w:val="000000"/>
                <w:sz w:val="20"/>
                <w:szCs w:val="20"/>
              </w:rPr>
              <w:t xml:space="preserve">Billions of usage events processed per day, sustained (real usage-billing-platform proxy figure) [S6]</w:t>
            </w:r>
          </w:p>
        </w:tc>
      </w:tr>
      <w:tr>
        <w:tc>
          <w:tcPr>
            <w:tcW w:type="dxa" w:w="5400"/>
            <w:shd w:fill="F7F9FB" w:val="clear"/>
            <w:tcMar>
              <w:top w:type="dxa" w:w="80"/>
              <w:left w:type="dxa" w:w="100"/>
              <w:bottom w:type="dxa" w:w="80"/>
              <w:right w:type="dxa" w:w="100"/>
            </w:tcMar>
          </w:tcPr>
          <w:p>
            <w:r>
              <w:rPr>
                <w:b w:val="false"/>
                <w:bCs w:val="false"/>
                <w:color w:val="000000"/>
                <w:sz w:val="20"/>
                <w:szCs w:val="20"/>
              </w:rPr>
              <w:t xml:space="preserve">Maximum allowed runtime per batch of 10,000 rollups (latency SLA)</w:t>
            </w:r>
          </w:p>
        </w:tc>
        <w:tc>
          <w:tcPr>
            <w:tcW w:type="dxa" w:w="4700"/>
            <w:shd w:fill="F7F9FB" w:val="clear"/>
            <w:tcMar>
              <w:top w:type="dxa" w:w="80"/>
              <w:left w:type="dxa" w:w="100"/>
              <w:bottom w:type="dxa" w:w="80"/>
              <w:right w:type="dxa" w:w="100"/>
            </w:tcMar>
          </w:tcPr>
          <w:p>
            <w:r>
              <w:rPr>
                <w:b w:val="false"/>
                <w:bCs w:val="false"/>
                <w:color w:val="000000"/>
                <w:sz w:val="20"/>
                <w:szCs w:val="20"/>
              </w:rPr>
              <w:t xml:space="preserve">500 ms [MA2]</w:t>
            </w:r>
          </w:p>
        </w:tc>
      </w:tr>
      <w:tr>
        <w:tc>
          <w:tcPr>
            <w:tcW w:type="dxa" w:w="5400"/>
            <w:tcMar>
              <w:top w:type="dxa" w:w="80"/>
              <w:left w:type="dxa" w:w="100"/>
              <w:bottom w:type="dxa" w:w="80"/>
              <w:right w:type="dxa" w:w="100"/>
            </w:tcMar>
          </w:tcPr>
          <w:p>
            <w:r>
              <w:rPr>
                <w:b w:val="false"/>
                <w:bCs w:val="false"/>
                <w:color w:val="000000"/>
                <w:sz w:val="20"/>
                <w:szCs w:val="20"/>
              </w:rPr>
              <w:t xml:space="preserve">Target language/runtime for the next billing engine release</w:t>
            </w:r>
          </w:p>
        </w:tc>
        <w:tc>
          <w:tcPr>
            <w:tcW w:type="dxa" w:w="4700"/>
            <w:tcMar>
              <w:top w:type="dxa" w:w="80"/>
              <w:left w:type="dxa" w:w="100"/>
              <w:bottom w:type="dxa" w:w="80"/>
              <w:right w:type="dxa" w:w="100"/>
            </w:tcMar>
          </w:tcPr>
          <w:p>
            <w:r>
              <w:rPr>
                <w:b w:val="false"/>
                <w:bCs w:val="false"/>
                <w:color w:val="000000"/>
                <w:sz w:val="20"/>
                <w:szCs w:val="20"/>
              </w:rPr>
              <w:t xml:space="preserve">Go [MA7]</w:t>
            </w:r>
          </w:p>
        </w:tc>
      </w:tr>
    </w:tbl>
    <w:p>
      <w:pPr>
        <w:spacing w:after="160"/>
      </w:pPr>
      <w:r>
        <w:rPr>
          <w:i/>
          <w:iCs/>
          <w:color w:val="5b6472"/>
          <w:sz w:val="18"/>
          <w:szCs w:val="18"/>
        </w:rPr>
        <w:t xml:space="preserve">Note: Meterworks is a scenario construction for this case — there is no real company by this name.</w:t>
      </w:r>
    </w:p>
    <w:p>
      <w:pPr>
        <w:pStyle w:val="Heading2"/>
        <w:spacing w:after="120" w:before="220"/>
      </w:pPr>
      <w:r>
        <w:rPr>
          <w:b/>
          <w:bCs/>
          <w:color w:val="1a3a5c"/>
          <w:sz w:val="26"/>
          <w:szCs w:val="26"/>
        </w:rPr>
        <w:t xml:space="preserve">Appendix B: Option A — The Provable Path (Recursive RollUpCharges)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200"/>
        <w:gridCol w:w="5900"/>
      </w:tblGrid>
      <w:tr>
        <w:trPr>
          <w:tblHeader/>
        </w:trPr>
        <w:tc>
          <w:tcPr>
            <w:tcW w:type="dxa" w:w="4200"/>
            <w:shd w:fill="1a3a5c" w:val="clear"/>
            <w:tcMar>
              <w:top w:type="dxa" w:w="80"/>
              <w:left w:type="dxa" w:w="100"/>
              <w:bottom w:type="dxa" w:w="80"/>
              <w:right w:type="dxa" w:w="100"/>
            </w:tcMar>
          </w:tcPr>
          <w:p>
            <w:r>
              <w:rPr>
                <w:b/>
                <w:bCs/>
                <w:color w:val="FFFFFF"/>
                <w:sz w:val="20"/>
                <w:szCs w:val="20"/>
              </w:rPr>
              <w:t xml:space="preserve">Spec</w:t>
            </w:r>
          </w:p>
        </w:tc>
        <w:tc>
          <w:tcPr>
            <w:tcW w:type="dxa" w:w="5900"/>
            <w:shd w:fill="1a3a5c" w:val="clear"/>
            <w:tcMar>
              <w:top w:type="dxa" w:w="80"/>
              <w:left w:type="dxa" w:w="100"/>
              <w:bottom w:type="dxa" w:w="80"/>
              <w:right w:type="dxa" w:w="100"/>
            </w:tcMar>
          </w:tcPr>
          <w:p>
            <w:r>
              <w:rPr>
                <w:b/>
                <w:bCs/>
                <w:color w:val="FFFFFF"/>
                <w:sz w:val="20"/>
                <w:szCs w:val="20"/>
              </w:rPr>
              <w:t xml:space="preserve">Value</w:t>
            </w:r>
          </w:p>
        </w:tc>
      </w:tr>
      <w:tr>
        <w:tc>
          <w:tcPr>
            <w:tcW w:type="dxa" w:w="4200"/>
            <w:tcMar>
              <w:top w:type="dxa" w:w="80"/>
              <w:left w:type="dxa" w:w="100"/>
              <w:bottom w:type="dxa" w:w="80"/>
              <w:right w:type="dxa" w:w="100"/>
            </w:tcMar>
          </w:tcPr>
          <w:p>
            <w:r>
              <w:rPr>
                <w:b w:val="false"/>
                <w:bCs w:val="false"/>
                <w:color w:val="000000"/>
                <w:sz w:val="20"/>
                <w:szCs w:val="20"/>
              </w:rPr>
              <w:t xml:space="preserve">Lines of code, recursive implementation</w:t>
            </w:r>
          </w:p>
        </w:tc>
        <w:tc>
          <w:tcPr>
            <w:tcW w:type="dxa" w:w="5900"/>
            <w:tcMar>
              <w:top w:type="dxa" w:w="80"/>
              <w:left w:type="dxa" w:w="100"/>
              <w:bottom w:type="dxa" w:w="80"/>
              <w:right w:type="dxa" w:w="100"/>
            </w:tcMar>
          </w:tcPr>
          <w:p>
            <w:r>
              <w:rPr>
                <w:b w:val="false"/>
                <w:bCs w:val="false"/>
                <w:color w:val="000000"/>
                <w:sz w:val="20"/>
                <w:szCs w:val="20"/>
              </w:rPr>
              <w:t xml:space="preserve">16 lines [MA3]</w:t>
            </w:r>
          </w:p>
        </w:tc>
      </w:tr>
      <w:tr>
        <w:tc>
          <w:tcPr>
            <w:tcW w:type="dxa" w:w="4200"/>
            <w:shd w:fill="F7F9FB" w:val="clear"/>
            <w:tcMar>
              <w:top w:type="dxa" w:w="80"/>
              <w:left w:type="dxa" w:w="100"/>
              <w:bottom w:type="dxa" w:w="80"/>
              <w:right w:type="dxa" w:w="100"/>
            </w:tcMar>
          </w:tcPr>
          <w:p>
            <w:r>
              <w:rPr>
                <w:b w:val="false"/>
                <w:bCs w:val="false"/>
                <w:color w:val="000000"/>
                <w:sz w:val="20"/>
                <w:szCs w:val="20"/>
              </w:rPr>
              <w:t xml:space="preserve">Base case</w:t>
            </w:r>
          </w:p>
        </w:tc>
        <w:tc>
          <w:tcPr>
            <w:tcW w:type="dxa" w:w="5900"/>
            <w:shd w:fill="F7F9FB" w:val="clear"/>
            <w:tcMar>
              <w:top w:type="dxa" w:w="80"/>
              <w:left w:type="dxa" w:w="100"/>
              <w:bottom w:type="dxa" w:w="80"/>
              <w:right w:type="dxa" w:w="100"/>
            </w:tcMar>
          </w:tcPr>
          <w:p>
            <w:r>
              <w:rPr>
                <w:b w:val="false"/>
                <w:bCs w:val="false"/>
                <w:color w:val="000000"/>
                <w:sz w:val="20"/>
                <w:szCs w:val="20"/>
              </w:rPr>
              <w:t xml:space="preserve">An account with zero child accounts; its total is the sum of its own raw usage events.</w:t>
            </w:r>
          </w:p>
        </w:tc>
      </w:tr>
      <w:tr>
        <w:tc>
          <w:tcPr>
            <w:tcW w:type="dxa" w:w="4200"/>
            <w:tcMar>
              <w:top w:type="dxa" w:w="80"/>
              <w:left w:type="dxa" w:w="100"/>
              <w:bottom w:type="dxa" w:w="80"/>
              <w:right w:type="dxa" w:w="100"/>
            </w:tcMar>
          </w:tcPr>
          <w:p>
            <w:r>
              <w:rPr>
                <w:b w:val="false"/>
                <w:bCs w:val="false"/>
                <w:color w:val="000000"/>
                <w:sz w:val="20"/>
                <w:szCs w:val="20"/>
              </w:rPr>
              <w:t xml:space="preserve">Inductive step</w:t>
            </w:r>
          </w:p>
        </w:tc>
        <w:tc>
          <w:tcPr>
            <w:tcW w:type="dxa" w:w="5900"/>
            <w:tcMar>
              <w:top w:type="dxa" w:w="80"/>
              <w:left w:type="dxa" w:w="100"/>
              <w:bottom w:type="dxa" w:w="80"/>
              <w:right w:type="dxa" w:w="100"/>
            </w:tcMar>
          </w:tcPr>
          <w:p>
            <w:r>
              <w:rPr>
                <w:b w:val="false"/>
                <w:bCs w:val="false"/>
                <w:color w:val="000000"/>
                <w:sz w:val="20"/>
                <w:szCs w:val="20"/>
              </w:rPr>
              <w:t xml:space="preserve">An account's total equals its own raw usage events plus the sum of its children's already-computed totals.</w:t>
            </w:r>
          </w:p>
        </w:tc>
      </w:tr>
      <w:tr>
        <w:tc>
          <w:tcPr>
            <w:tcW w:type="dxa" w:w="4200"/>
            <w:shd w:fill="F7F9FB" w:val="clear"/>
            <w:tcMar>
              <w:top w:type="dxa" w:w="80"/>
              <w:left w:type="dxa" w:w="100"/>
              <w:bottom w:type="dxa" w:w="80"/>
              <w:right w:type="dxa" w:w="100"/>
            </w:tcMar>
          </w:tcPr>
          <w:p>
            <w:r>
              <w:rPr>
                <w:b w:val="false"/>
                <w:bCs w:val="false"/>
                <w:color w:val="000000"/>
                <w:sz w:val="20"/>
                <w:szCs w:val="20"/>
              </w:rPr>
              <w:t xml:space="preserve">Does the target runtime named in Appendix A guarantee or reliably apply tail-call optimization to this function?</w:t>
            </w:r>
          </w:p>
        </w:tc>
        <w:tc>
          <w:tcPr>
            <w:tcW w:type="dxa" w:w="5900"/>
            <w:shd w:fill="F7F9FB" w:val="clear"/>
            <w:tcMar>
              <w:top w:type="dxa" w:w="80"/>
              <w:left w:type="dxa" w:w="100"/>
              <w:bottom w:type="dxa" w:w="80"/>
              <w:right w:type="dxa" w:w="100"/>
            </w:tcMar>
          </w:tcPr>
          <w:p>
            <w:r>
              <w:rPr>
                <w:b w:val="false"/>
                <w:bCs w:val="false"/>
                <w:color w:val="000000"/>
                <w:sz w:val="20"/>
                <w:szCs w:val="20"/>
              </w:rPr>
              <w:t xml:space="preserve">No. Go's own compiler team has repeatedly and publicly declined to add general tail-call optimization to the language, citing the need to keep runtime.Callers and stack backtraces predictable [S4].</w:t>
            </w:r>
          </w:p>
        </w:tc>
      </w:tr>
    </w:tbl>
    <w:p>
      <w:pPr>
        <w:pStyle w:val="Heading2"/>
        <w:spacing w:after="120" w:before="220"/>
      </w:pPr>
      <w:r>
        <w:rPr>
          <w:b/>
          <w:bCs/>
          <w:color w:val="1a3a5c"/>
          <w:sz w:val="26"/>
          <w:szCs w:val="26"/>
        </w:rPr>
        <w:t xml:space="preserve">Appendix C: Option B — The Guaranteed Floor (Iterative RollUpCharges)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200"/>
        <w:gridCol w:w="5900"/>
      </w:tblGrid>
      <w:tr>
        <w:trPr>
          <w:tblHeader/>
        </w:trPr>
        <w:tc>
          <w:tcPr>
            <w:tcW w:type="dxa" w:w="4200"/>
            <w:shd w:fill="1a3a5c" w:val="clear"/>
            <w:tcMar>
              <w:top w:type="dxa" w:w="80"/>
              <w:left w:type="dxa" w:w="100"/>
              <w:bottom w:type="dxa" w:w="80"/>
              <w:right w:type="dxa" w:w="100"/>
            </w:tcMar>
          </w:tcPr>
          <w:p>
            <w:r>
              <w:rPr>
                <w:b/>
                <w:bCs/>
                <w:color w:val="FFFFFF"/>
                <w:sz w:val="20"/>
                <w:szCs w:val="20"/>
              </w:rPr>
              <w:t xml:space="preserve">Spec</w:t>
            </w:r>
          </w:p>
        </w:tc>
        <w:tc>
          <w:tcPr>
            <w:tcW w:type="dxa" w:w="5900"/>
            <w:shd w:fill="1a3a5c" w:val="clear"/>
            <w:tcMar>
              <w:top w:type="dxa" w:w="80"/>
              <w:left w:type="dxa" w:w="100"/>
              <w:bottom w:type="dxa" w:w="80"/>
              <w:right w:type="dxa" w:w="100"/>
            </w:tcMar>
          </w:tcPr>
          <w:p>
            <w:r>
              <w:rPr>
                <w:b/>
                <w:bCs/>
                <w:color w:val="FFFFFF"/>
                <w:sz w:val="20"/>
                <w:szCs w:val="20"/>
              </w:rPr>
              <w:t xml:space="preserve">Value</w:t>
            </w:r>
          </w:p>
        </w:tc>
      </w:tr>
      <w:tr>
        <w:tc>
          <w:tcPr>
            <w:tcW w:type="dxa" w:w="4200"/>
            <w:tcMar>
              <w:top w:type="dxa" w:w="80"/>
              <w:left w:type="dxa" w:w="100"/>
              <w:bottom w:type="dxa" w:w="80"/>
              <w:right w:type="dxa" w:w="100"/>
            </w:tcMar>
          </w:tcPr>
          <w:p>
            <w:r>
              <w:rPr>
                <w:b w:val="false"/>
                <w:bCs w:val="false"/>
                <w:color w:val="000000"/>
                <w:sz w:val="20"/>
                <w:szCs w:val="20"/>
              </w:rPr>
              <w:t xml:space="preserve">Lines of code, iterative implementation</w:t>
            </w:r>
          </w:p>
        </w:tc>
        <w:tc>
          <w:tcPr>
            <w:tcW w:type="dxa" w:w="5900"/>
            <w:tcMar>
              <w:top w:type="dxa" w:w="80"/>
              <w:left w:type="dxa" w:w="100"/>
              <w:bottom w:type="dxa" w:w="80"/>
              <w:right w:type="dxa" w:w="100"/>
            </w:tcMar>
          </w:tcPr>
          <w:p>
            <w:r>
              <w:rPr>
                <w:b w:val="false"/>
                <w:bCs w:val="false"/>
                <w:color w:val="000000"/>
                <w:sz w:val="20"/>
                <w:szCs w:val="20"/>
              </w:rPr>
              <w:t xml:space="preserve">34 lines [MA4]</w:t>
            </w:r>
          </w:p>
        </w:tc>
      </w:tr>
      <w:tr>
        <w:tc>
          <w:tcPr>
            <w:tcW w:type="dxa" w:w="4200"/>
            <w:shd w:fill="F7F9FB" w:val="clear"/>
            <w:tcMar>
              <w:top w:type="dxa" w:w="80"/>
              <w:left w:type="dxa" w:w="100"/>
              <w:bottom w:type="dxa" w:w="80"/>
              <w:right w:type="dxa" w:w="100"/>
            </w:tcMar>
          </w:tcPr>
          <w:p>
            <w:r>
              <w:rPr>
                <w:b w:val="false"/>
                <w:bCs w:val="false"/>
                <w:color w:val="000000"/>
                <w:sz w:val="20"/>
                <w:szCs w:val="20"/>
              </w:rPr>
              <w:t xml:space="preserve">Implementation approach</w:t>
            </w:r>
          </w:p>
        </w:tc>
        <w:tc>
          <w:tcPr>
            <w:tcW w:type="dxa" w:w="5900"/>
            <w:shd w:fill="F7F9FB" w:val="clear"/>
            <w:tcMar>
              <w:top w:type="dxa" w:w="80"/>
              <w:left w:type="dxa" w:w="100"/>
              <w:bottom w:type="dxa" w:w="80"/>
              <w:right w:type="dxa" w:w="100"/>
            </w:tcMar>
          </w:tcPr>
          <w:p>
            <w:r>
              <w:rPr>
                <w:b w:val="false"/>
                <w:bCs w:val="false"/>
                <w:color w:val="000000"/>
                <w:sz w:val="20"/>
                <w:szCs w:val="20"/>
              </w:rPr>
              <w:t xml:space="preserve">Explicit loop over a flattened, depth-ordered list of accounts (children processed before parents), with an explicit stack replacing the call stack.</w:t>
            </w:r>
          </w:p>
        </w:tc>
      </w:tr>
      <w:tr>
        <w:tc>
          <w:tcPr>
            <w:tcW w:type="dxa" w:w="4200"/>
            <w:tcMar>
              <w:top w:type="dxa" w:w="80"/>
              <w:left w:type="dxa" w:w="100"/>
              <w:bottom w:type="dxa" w:w="80"/>
              <w:right w:type="dxa" w:w="100"/>
            </w:tcMar>
          </w:tcPr>
          <w:p>
            <w:r>
              <w:rPr>
                <w:b w:val="false"/>
                <w:bCs w:val="false"/>
                <w:color w:val="000000"/>
                <w:sz w:val="20"/>
                <w:szCs w:val="20"/>
              </w:rPr>
              <w:t xml:space="preserve">Correctness argument on file</w:t>
            </w:r>
          </w:p>
        </w:tc>
        <w:tc>
          <w:tcPr>
            <w:tcW w:type="dxa" w:w="5900"/>
            <w:tcMar>
              <w:top w:type="dxa" w:w="80"/>
              <w:left w:type="dxa" w:w="100"/>
              <w:bottom w:type="dxa" w:w="80"/>
              <w:right w:type="dxa" w:w="100"/>
            </w:tcMar>
          </w:tcPr>
          <w:p>
            <w:r>
              <w:rPr>
                <w:b w:val="false"/>
                <w:bCs w:val="false"/>
                <w:color w:val="000000"/>
                <w:sz w:val="20"/>
                <w:szCs w:val="20"/>
              </w:rPr>
              <w:t xml:space="preserve">A walkthrough of representative test hierarchies up to a stated depth; no induction proof.</w:t>
            </w:r>
          </w:p>
        </w:tc>
      </w:tr>
      <w:tr>
        <w:tc>
          <w:tcPr>
            <w:tcW w:type="dxa" w:w="4200"/>
            <w:shd w:fill="F7F9FB" w:val="clear"/>
            <w:tcMar>
              <w:top w:type="dxa" w:w="80"/>
              <w:left w:type="dxa" w:w="100"/>
              <w:bottom w:type="dxa" w:w="80"/>
              <w:right w:type="dxa" w:w="100"/>
            </w:tcMar>
          </w:tcPr>
          <w:p>
            <w:r>
              <w:rPr>
                <w:b w:val="false"/>
                <w:bCs w:val="false"/>
                <w:color w:val="000000"/>
                <w:sz w:val="20"/>
                <w:szCs w:val="20"/>
              </w:rPr>
              <w:t xml:space="preserve">Does this version's runtime depend on the target runtime's tail-call behavior?</w:t>
            </w:r>
          </w:p>
        </w:tc>
        <w:tc>
          <w:tcPr>
            <w:tcW w:type="dxa" w:w="5900"/>
            <w:shd w:fill="F7F9FB" w:val="clear"/>
            <w:tcMar>
              <w:top w:type="dxa" w:w="80"/>
              <w:left w:type="dxa" w:w="100"/>
              <w:bottom w:type="dxa" w:w="80"/>
              <w:right w:type="dxa" w:w="100"/>
            </w:tcMar>
          </w:tcPr>
          <w:p>
            <w:r>
              <w:rPr>
                <w:b w:val="false"/>
                <w:bCs w:val="false"/>
                <w:color w:val="000000"/>
                <w:sz w:val="20"/>
                <w:szCs w:val="20"/>
              </w:rPr>
              <w:t xml:space="preserve">No — per-call cost is fixed and does not depend on tail-call optimization.</w:t>
            </w:r>
          </w:p>
        </w:tc>
      </w:tr>
    </w:tbl>
    <w:p>
      <w:pPr>
        <w:pStyle w:val="Heading2"/>
        <w:spacing w:after="120" w:before="220"/>
      </w:pPr>
      <w:r>
        <w:rPr>
          <w:b/>
          <w:bCs/>
          <w:color w:val="1a3a5c"/>
          <w:sz w:val="26"/>
          <w:szCs w:val="26"/>
        </w:rPr>
        <w:t xml:space="preserve">Appendix D: Measured Runtime — Recursive vs. Iterative RollUpCharges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600"/>
        <w:gridCol w:w="2600"/>
      </w:tblGrid>
      <w:tr>
        <w:trPr>
          <w:tblHeader/>
        </w:trPr>
        <w:tc>
          <w:tcPr>
            <w:tcW w:type="dxa" w:w="2600"/>
            <w:shd w:fill="1a3a5c" w:val="clear"/>
            <w:tcMar>
              <w:top w:type="dxa" w:w="80"/>
              <w:left w:type="dxa" w:w="100"/>
              <w:bottom w:type="dxa" w:w="80"/>
              <w:right w:type="dxa" w:w="100"/>
            </w:tcMar>
          </w:tcPr>
          <w:p>
            <w:r>
              <w:rPr>
                <w:b/>
                <w:bCs/>
                <w:color w:val="FFFFFF"/>
                <w:sz w:val="20"/>
                <w:szCs w:val="20"/>
              </w:rPr>
              <w:t xml:space="preserve">Account-hierarchy depth</w:t>
            </w:r>
          </w:p>
        </w:tc>
        <w:tc>
          <w:tcPr>
            <w:tcW w:type="dxa" w:w="2500"/>
            <w:shd w:fill="1a3a5c" w:val="clear"/>
            <w:tcMar>
              <w:top w:type="dxa" w:w="80"/>
              <w:left w:type="dxa" w:w="100"/>
              <w:bottom w:type="dxa" w:w="80"/>
              <w:right w:type="dxa" w:w="100"/>
            </w:tcMar>
          </w:tcPr>
          <w:p>
            <w:r>
              <w:rPr>
                <w:b/>
                <w:bCs/>
                <w:color w:val="FFFFFF"/>
                <w:sz w:val="20"/>
                <w:szCs w:val="20"/>
              </w:rPr>
              <w:t xml:space="preserve">Iterative (ms / 10,000 rollups)</w:t>
            </w:r>
          </w:p>
        </w:tc>
        <w:tc>
          <w:tcPr>
            <w:tcW w:type="dxa" w:w="2600"/>
            <w:shd w:fill="1a3a5c" w:val="clear"/>
            <w:tcMar>
              <w:top w:type="dxa" w:w="80"/>
              <w:left w:type="dxa" w:w="100"/>
              <w:bottom w:type="dxa" w:w="80"/>
              <w:right w:type="dxa" w:w="100"/>
            </w:tcMar>
          </w:tcPr>
          <w:p>
            <w:r>
              <w:rPr>
                <w:b/>
                <w:bCs/>
                <w:color w:val="FFFFFF"/>
                <w:sz w:val="20"/>
                <w:szCs w:val="20"/>
              </w:rPr>
              <w:t xml:space="preserve">Recursive, TCO honored (ms / 10,000 rollups)</w:t>
            </w:r>
          </w:p>
        </w:tc>
        <w:tc>
          <w:tcPr>
            <w:tcW w:type="dxa" w:w="2600"/>
            <w:shd w:fill="1a3a5c" w:val="clear"/>
            <w:tcMar>
              <w:top w:type="dxa" w:w="80"/>
              <w:left w:type="dxa" w:w="100"/>
              <w:bottom w:type="dxa" w:w="80"/>
              <w:right w:type="dxa" w:w="100"/>
            </w:tcMar>
          </w:tcPr>
          <w:p>
            <w:r>
              <w:rPr>
                <w:b/>
                <w:bCs/>
                <w:color w:val="FFFFFF"/>
                <w:sz w:val="20"/>
                <w:szCs w:val="20"/>
              </w:rPr>
              <w:t xml:space="preserve">Recursive, TCO not honored (ms / 10,000 rollups)</w:t>
            </w:r>
          </w:p>
        </w:tc>
      </w:tr>
      <w:tr>
        <w:tc>
          <w:tcPr>
            <w:tcW w:type="dxa" w:w="2600"/>
            <w:tcMar>
              <w:top w:type="dxa" w:w="80"/>
              <w:left w:type="dxa" w:w="100"/>
              <w:bottom w:type="dxa" w:w="80"/>
              <w:right w:type="dxa" w:w="100"/>
            </w:tcMar>
          </w:tcPr>
          <w:p>
            <w:r>
              <w:rPr>
                <w:b w:val="false"/>
                <w:bCs w:val="false"/>
                <w:color w:val="000000"/>
                <w:sz w:val="20"/>
                <w:szCs w:val="20"/>
              </w:rPr>
              <w:t xml:space="preserve">Shallow</w:t>
            </w:r>
          </w:p>
        </w:tc>
        <w:tc>
          <w:tcPr>
            <w:tcW w:type="dxa" w:w="2500"/>
            <w:tcMar>
              <w:top w:type="dxa" w:w="80"/>
              <w:left w:type="dxa" w:w="100"/>
              <w:bottom w:type="dxa" w:w="80"/>
              <w:right w:type="dxa" w:w="100"/>
            </w:tcMar>
          </w:tcPr>
          <w:p>
            <w:r>
              <w:rPr>
                <w:b w:val="false"/>
                <w:bCs w:val="false"/>
                <w:color w:val="000000"/>
                <w:sz w:val="20"/>
                <w:szCs w:val="20"/>
              </w:rPr>
              <w:t xml:space="preserve">0.164 [S1]</w:t>
            </w:r>
          </w:p>
        </w:tc>
        <w:tc>
          <w:tcPr>
            <w:tcW w:type="dxa" w:w="2600"/>
            <w:tcMar>
              <w:top w:type="dxa" w:w="80"/>
              <w:left w:type="dxa" w:w="100"/>
              <w:bottom w:type="dxa" w:w="80"/>
              <w:right w:type="dxa" w:w="100"/>
            </w:tcMar>
          </w:tcPr>
          <w:p>
            <w:r>
              <w:rPr>
                <w:b w:val="false"/>
                <w:bCs w:val="false"/>
                <w:color w:val="000000"/>
                <w:sz w:val="20"/>
                <w:szCs w:val="20"/>
              </w:rPr>
              <w:t xml:space="preserve">0.333 [S1]</w:t>
            </w:r>
          </w:p>
        </w:tc>
        <w:tc>
          <w:tcPr>
            <w:tcW w:type="dxa" w:w="2600"/>
            <w:tcMar>
              <w:top w:type="dxa" w:w="80"/>
              <w:left w:type="dxa" w:w="100"/>
              <w:bottom w:type="dxa" w:w="80"/>
              <w:right w:type="dxa" w:w="100"/>
            </w:tcMar>
          </w:tcPr>
          <w:p>
            <w:r>
              <w:rPr>
                <w:b w:val="false"/>
                <w:bCs w:val="false"/>
                <w:color w:val="000000"/>
                <w:sz w:val="20"/>
                <w:szCs w:val="20"/>
              </w:rPr>
              <w:t xml:space="preserve">3.94 [S1]</w:t>
            </w:r>
          </w:p>
        </w:tc>
      </w:tr>
      <w:tr>
        <w:tc>
          <w:tcPr>
            <w:tcW w:type="dxa" w:w="2600"/>
            <w:shd w:fill="F7F9FB" w:val="clear"/>
            <w:tcMar>
              <w:top w:type="dxa" w:w="80"/>
              <w:left w:type="dxa" w:w="100"/>
              <w:bottom w:type="dxa" w:w="80"/>
              <w:right w:type="dxa" w:w="100"/>
            </w:tcMar>
          </w:tcPr>
          <w:p>
            <w:r>
              <w:rPr>
                <w:b w:val="false"/>
                <w:bCs w:val="false"/>
                <w:color w:val="000000"/>
                <w:sz w:val="20"/>
                <w:szCs w:val="20"/>
              </w:rPr>
              <w:t xml:space="preserve">Medium</w:t>
            </w:r>
          </w:p>
        </w:tc>
        <w:tc>
          <w:tcPr>
            <w:tcW w:type="dxa" w:w="2500"/>
            <w:shd w:fill="F7F9FB" w:val="clear"/>
            <w:tcMar>
              <w:top w:type="dxa" w:w="80"/>
              <w:left w:type="dxa" w:w="100"/>
              <w:bottom w:type="dxa" w:w="80"/>
              <w:right w:type="dxa" w:w="100"/>
            </w:tcMar>
          </w:tcPr>
          <w:p>
            <w:r>
              <w:rPr>
                <w:b w:val="false"/>
                <w:bCs w:val="false"/>
                <w:color w:val="000000"/>
                <w:sz w:val="20"/>
                <w:szCs w:val="20"/>
              </w:rPr>
              <w:t xml:space="preserve">0.259 [S8]</w:t>
            </w:r>
          </w:p>
        </w:tc>
        <w:tc>
          <w:tcPr>
            <w:tcW w:type="dxa" w:w="2600"/>
            <w:shd w:fill="F7F9FB" w:val="clear"/>
            <w:tcMar>
              <w:top w:type="dxa" w:w="80"/>
              <w:left w:type="dxa" w:w="100"/>
              <w:bottom w:type="dxa" w:w="80"/>
              <w:right w:type="dxa" w:w="100"/>
            </w:tcMar>
          </w:tcPr>
          <w:p>
            <w:r>
              <w:rPr>
                <w:b w:val="false"/>
                <w:bCs w:val="false"/>
                <w:color w:val="000000"/>
                <w:sz w:val="20"/>
                <w:szCs w:val="20"/>
              </w:rPr>
              <w:t xml:space="preserve">0.343 [S8]</w:t>
            </w:r>
          </w:p>
        </w:tc>
        <w:tc>
          <w:tcPr>
            <w:tcW w:type="dxa" w:w="2600"/>
            <w:shd w:fill="F7F9FB" w:val="clear"/>
            <w:tcMar>
              <w:top w:type="dxa" w:w="80"/>
              <w:left w:type="dxa" w:w="100"/>
              <w:bottom w:type="dxa" w:w="80"/>
              <w:right w:type="dxa" w:w="100"/>
            </w:tcMar>
          </w:tcPr>
          <w:p>
            <w:r>
              <w:rPr>
                <w:b w:val="false"/>
                <w:bCs w:val="false"/>
                <w:color w:val="000000"/>
                <w:sz w:val="20"/>
                <w:szCs w:val="20"/>
              </w:rPr>
              <w:t xml:space="preserve">3,508 [S8]</w:t>
            </w:r>
          </w:p>
        </w:tc>
      </w:tr>
      <w:tr>
        <w:tc>
          <w:tcPr>
            <w:tcW w:type="dxa" w:w="2600"/>
            <w:tcMar>
              <w:top w:type="dxa" w:w="80"/>
              <w:left w:type="dxa" w:w="100"/>
              <w:bottom w:type="dxa" w:w="80"/>
              <w:right w:type="dxa" w:w="100"/>
            </w:tcMar>
          </w:tcPr>
          <w:p>
            <w:r>
              <w:rPr>
                <w:b w:val="false"/>
                <w:bCs w:val="false"/>
                <w:color w:val="000000"/>
                <w:sz w:val="20"/>
                <w:szCs w:val="20"/>
              </w:rPr>
              <w:t xml:space="preserve">Deep</w:t>
            </w:r>
          </w:p>
        </w:tc>
        <w:tc>
          <w:tcPr>
            <w:tcW w:type="dxa" w:w="2500"/>
            <w:tcMar>
              <w:top w:type="dxa" w:w="80"/>
              <w:left w:type="dxa" w:w="100"/>
              <w:bottom w:type="dxa" w:w="80"/>
              <w:right w:type="dxa" w:w="100"/>
            </w:tcMar>
          </w:tcPr>
          <w:p>
            <w:r>
              <w:rPr>
                <w:b w:val="false"/>
                <w:bCs w:val="false"/>
                <w:color w:val="000000"/>
                <w:sz w:val="20"/>
                <w:szCs w:val="20"/>
              </w:rPr>
              <w:t xml:space="preserve">0.354 [S7]</w:t>
            </w:r>
          </w:p>
        </w:tc>
        <w:tc>
          <w:tcPr>
            <w:tcW w:type="dxa" w:w="2600"/>
            <w:tcMar>
              <w:top w:type="dxa" w:w="80"/>
              <w:left w:type="dxa" w:w="100"/>
              <w:bottom w:type="dxa" w:w="80"/>
              <w:right w:type="dxa" w:w="100"/>
            </w:tcMar>
          </w:tcPr>
          <w:p>
            <w:r>
              <w:rPr>
                <w:b w:val="false"/>
                <w:bCs w:val="false"/>
                <w:color w:val="000000"/>
                <w:sz w:val="20"/>
                <w:szCs w:val="20"/>
              </w:rPr>
              <w:t xml:space="preserve">0.354 [S2]</w:t>
            </w:r>
          </w:p>
        </w:tc>
        <w:tc>
          <w:tcPr>
            <w:tcW w:type="dxa" w:w="2600"/>
            <w:tcMar>
              <w:top w:type="dxa" w:w="80"/>
              <w:left w:type="dxa" w:w="100"/>
              <w:bottom w:type="dxa" w:w="80"/>
              <w:right w:type="dxa" w:w="100"/>
            </w:tcMar>
          </w:tcPr>
          <w:p>
            <w:r>
              <w:rPr>
                <w:b w:val="false"/>
                <w:bCs w:val="false"/>
                <w:color w:val="000000"/>
                <w:sz w:val="20"/>
                <w:szCs w:val="20"/>
              </w:rPr>
              <w:t xml:space="preserve">3,122,383 [S2]</w:t>
            </w:r>
          </w:p>
        </w:tc>
      </w:tr>
    </w:tbl>
    <w:p>
      <w:pPr>
        <w:spacing w:after="160"/>
      </w:pPr>
      <w:r>
        <w:rPr>
          <w:i/>
          <w:iCs/>
          <w:color w:val="5b6472"/>
          <w:sz w:val="18"/>
          <w:szCs w:val="18"/>
        </w:rPr>
        <w:t xml:space="preserve">Shallow and Deep are directly measured (S1, S2); Medium is interpolated between them — see Modeling Assumption MA5. The Deep-row Iterative figure (S7) is not an independent measurement — see MA6.</w:t>
      </w:r>
    </w:p>
    <w:p>
      <w:pPr>
        <w:spacing w:after="160"/>
      </w:pPr>
      <w:r>
        <w:rPr>
          <w:i/>
          <w:iCs/>
          <w:color w:val="5b6472"/>
          <w:sz w:val="18"/>
          <w:szCs w:val="18"/>
        </w:rPr>
        <w:t xml:space="preserve">Figures in this appendix are scaled from published language-runtime benchmarks of a canonical recursive function's (Fibonacci's) iterative, tail-recursive, and non-tail-recursive implementations, not from Meterworks' own (fictional) production telemetry — see the Modeling Assumptions block and Appendix F.</w:t>
      </w:r>
    </w:p>
    <w:p>
      <w:pPr>
        <w:pStyle w:val="Heading2"/>
        <w:spacing w:after="120" w:before="220"/>
      </w:pPr>
      <w:r>
        <w:rPr>
          <w:b/>
          <w:bCs/>
          <w:color w:val="1a3a5c"/>
          <w:sz w:val="26"/>
          <w:szCs w:val="26"/>
        </w:rPr>
        <w:t xml:space="preserve">Appendix E: Documented Precedent — Recursive Aggregation Failures in Production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000"/>
        <w:gridCol w:w="6100"/>
      </w:tblGrid>
      <w:tr>
        <w:trPr>
          <w:tblHeader/>
        </w:trPr>
        <w:tc>
          <w:tcPr>
            <w:tcW w:type="dxa" w:w="4000"/>
            <w:shd w:fill="1a3a5c" w:val="clear"/>
            <w:tcMar>
              <w:top w:type="dxa" w:w="80"/>
              <w:left w:type="dxa" w:w="100"/>
              <w:bottom w:type="dxa" w:w="80"/>
              <w:right w:type="dxa" w:w="100"/>
            </w:tcMar>
          </w:tcPr>
          <w:p>
            <w:r>
              <w:rPr>
                <w:b/>
                <w:bCs/>
                <w:color w:val="FFFFFF"/>
                <w:sz w:val="20"/>
                <w:szCs w:val="20"/>
              </w:rPr>
              <w:t xml:space="preserve">Item</w:t>
            </w:r>
          </w:p>
        </w:tc>
        <w:tc>
          <w:tcPr>
            <w:tcW w:type="dxa" w:w="6100"/>
            <w:shd w:fill="1a3a5c" w:val="clear"/>
            <w:tcMar>
              <w:top w:type="dxa" w:w="80"/>
              <w:left w:type="dxa" w:w="100"/>
              <w:bottom w:type="dxa" w:w="80"/>
              <w:right w:type="dxa" w:w="100"/>
            </w:tcMar>
          </w:tcPr>
          <w:p>
            <w:r>
              <w:rPr>
                <w:b/>
                <w:bCs/>
                <w:color w:val="FFFFFF"/>
                <w:sz w:val="20"/>
                <w:szCs w:val="20"/>
              </w:rPr>
              <w:t xml:space="preserve">Value</w:t>
            </w:r>
          </w:p>
        </w:tc>
      </w:tr>
      <w:tr>
        <w:tc>
          <w:tcPr>
            <w:tcW w:type="dxa" w:w="4000"/>
            <w:tcMar>
              <w:top w:type="dxa" w:w="80"/>
              <w:left w:type="dxa" w:w="100"/>
              <w:bottom w:type="dxa" w:w="80"/>
              <w:right w:type="dxa" w:w="100"/>
            </w:tcMar>
          </w:tcPr>
          <w:p>
            <w:r>
              <w:rPr>
                <w:b w:val="false"/>
                <w:bCs w:val="false"/>
                <w:color w:val="000000"/>
                <w:sz w:val="20"/>
                <w:szCs w:val="20"/>
              </w:rPr>
              <w:t xml:space="preserve">A publicly documented production postmortem describing a recursive map-reduce billing/aggregation bug and the divergent totals it produced</w:t>
            </w:r>
          </w:p>
        </w:tc>
        <w:tc>
          <w:tcPr>
            <w:tcW w:type="dxa" w:w="6100"/>
            <w:tcMar>
              <w:top w:type="dxa" w:w="80"/>
              <w:left w:type="dxa" w:w="100"/>
              <w:bottom w:type="dxa" w:w="80"/>
              <w:right w:type="dxa" w:w="100"/>
            </w:tcMar>
          </w:tcPr>
          <w:p>
            <w:r>
              <w:rPr>
                <w:b w:val="false"/>
                <w:bCs w:val="false"/>
                <w:color w:val="000000"/>
                <w:sz w:val="20"/>
                <w:szCs w:val="20"/>
              </w:rPr>
              <w:t xml:space="preserve">Oren Eini (Ayende Rahien), founder of RavenDB — “Production postmortem: Your math is wrong, recursion doesn't work this way” (2022-07-13). A multi-map-reduce billing-aggregation index silently violated its own assumption once an already-reduced intermediate result was fed back into the same reduce function on a different cluster node, producing two different totals for the same account: –67,343 and +67,329 [S3].</w:t>
            </w:r>
          </w:p>
        </w:tc>
      </w:tr>
      <w:tr>
        <w:tc>
          <w:tcPr>
            <w:tcW w:type="dxa" w:w="4000"/>
            <w:shd w:fill="F7F9FB" w:val="clear"/>
            <w:tcMar>
              <w:top w:type="dxa" w:w="80"/>
              <w:left w:type="dxa" w:w="100"/>
              <w:bottom w:type="dxa" w:w="80"/>
              <w:right w:type="dxa" w:w="100"/>
            </w:tcMar>
          </w:tcPr>
          <w:p>
            <w:r>
              <w:rPr>
                <w:b w:val="false"/>
                <w:bCs w:val="false"/>
                <w:color w:val="000000"/>
                <w:sz w:val="20"/>
                <w:szCs w:val="20"/>
              </w:rPr>
              <w:t xml:space="preserve">A published benchmark showing the extreme end of the non-tail-callable recursion cost gap</w:t>
            </w:r>
          </w:p>
        </w:tc>
        <w:tc>
          <w:tcPr>
            <w:tcW w:type="dxa" w:w="6100"/>
            <w:shd w:fill="F7F9FB" w:val="clear"/>
            <w:tcMar>
              <w:top w:type="dxa" w:w="80"/>
              <w:left w:type="dxa" w:w="100"/>
              <w:bottom w:type="dxa" w:w="80"/>
              <w:right w:type="dxa" w:w="100"/>
            </w:tcMar>
          </w:tcPr>
          <w:p>
            <w:r>
              <w:rPr>
                <w:b w:val="false"/>
                <w:bCs w:val="false"/>
                <w:color w:val="000000"/>
                <w:sz w:val="20"/>
                <w:szCs w:val="20"/>
              </w:rPr>
              <w:t xml:space="preserve">pope/go_recursive_benchmark (GitHub) — a naive, non-tail-callable recursive Fibonacci(40) runs at 312,238,250 ns/op; the same function restructured to be tail-callable runs at 35.36 ns/op — roughly an 8.8-million-times gap [S2].</w:t>
            </w:r>
          </w:p>
        </w:tc>
      </w:tr>
    </w:tbl>
    <w:p>
      <w:pPr>
        <w:spacing w:after="160"/>
      </w:pPr>
      <w:r>
        <w:rPr>
          <w:i/>
          <w:iCs/>
          <w:color w:val="5b6472"/>
          <w:sz w:val="18"/>
          <w:szCs w:val="18"/>
        </w:rPr>
        <w:t xml:space="preserve">This appendix documents a real, external precedent of the same failure shape described in Background — an already-aggregated intermediate result recursively re-fed into the same reduce function, violating an assumption that held only at the top level. It is cited as industry precedent, not as an incident at Meterworks itself.</w:t>
      </w:r>
    </w:p>
    <w:p>
      <w:pPr>
        <w:pStyle w:val="Heading2"/>
        <w:spacing w:after="120" w:before="220"/>
      </w:pPr>
      <w:r>
        <w:rPr>
          <w:b/>
          <w:bCs/>
          <w:color w:val="1a3a5c"/>
          <w:sz w:val="26"/>
          <w:szCs w:val="26"/>
        </w:rPr>
        <w:t xml:space="preserve">Modeling Assumptions</w:t>
      </w:r>
    </w:p>
    <w:p>
      <w:pPr>
        <w:spacing w:after="160"/>
      </w:pPr>
      <w:r>
        <w:rPr>
          <w:i/>
          <w:iCs/>
        </w:rPr>
        <w:t xml:space="preserve">These figures are not sourced from Meterworks (a fictional company) or, in most cases, from any external record at all. They are stated scenario assumptions chosen by the case author, or figures derived by interpolating between two real, cited benchmarks. A Hero may challenge any of them in discussion — that is a legitimate move.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400"/>
        <w:gridCol w:w="2400"/>
        <w:gridCol w:w="2000"/>
      </w:tblGrid>
      <w:tr>
        <w:trPr>
          <w:tblHeader/>
        </w:trPr>
        <w:tc>
          <w:tcPr>
            <w:tcW w:type="dxa" w:w="700"/>
            <w:shd w:fill="1a3a5c" w:val="clear"/>
            <w:tcMar>
              <w:top w:type="dxa" w:w="80"/>
              <w:left w:type="dxa" w:w="100"/>
              <w:bottom w:type="dxa" w:w="80"/>
              <w:right w:type="dxa" w:w="100"/>
            </w:tcMar>
          </w:tcPr>
          <w:p>
            <w:r>
              <w:rPr>
                <w:b/>
                <w:bCs/>
                <w:color w:val="FFFFFF"/>
                <w:sz w:val="20"/>
                <w:szCs w:val="20"/>
              </w:rPr>
              <w:t xml:space="preserve">#</w:t>
            </w:r>
          </w:p>
        </w:tc>
        <w:tc>
          <w:tcPr>
            <w:tcW w:type="dxa" w:w="2000"/>
            <w:shd w:fill="1a3a5c" w:val="clear"/>
            <w:tcMar>
              <w:top w:type="dxa" w:w="80"/>
              <w:left w:type="dxa" w:w="100"/>
              <w:bottom w:type="dxa" w:w="80"/>
              <w:right w:type="dxa" w:w="100"/>
            </w:tcMar>
          </w:tcPr>
          <w:p>
            <w:r>
              <w:rPr>
                <w:b/>
                <w:bCs/>
                <w:color w:val="FFFFFF"/>
                <w:sz w:val="20"/>
                <w:szCs w:val="20"/>
              </w:rPr>
              <w:t xml:space="preserve">Assumption</w:t>
            </w:r>
          </w:p>
        </w:tc>
        <w:tc>
          <w:tcPr>
            <w:tcW w:type="dxa" w:w="2400"/>
            <w:shd w:fill="1a3a5c" w:val="clear"/>
            <w:tcMar>
              <w:top w:type="dxa" w:w="80"/>
              <w:left w:type="dxa" w:w="100"/>
              <w:bottom w:type="dxa" w:w="80"/>
              <w:right w:type="dxa" w:w="100"/>
            </w:tcMar>
          </w:tcPr>
          <w:p>
            <w:r>
              <w:rPr>
                <w:b/>
                <w:bCs/>
                <w:color w:val="FFFFFF"/>
                <w:sz w:val="20"/>
                <w:szCs w:val="20"/>
              </w:rPr>
              <w:t xml:space="preserve">Value used</w:t>
            </w:r>
          </w:p>
        </w:tc>
        <w:tc>
          <w:tcPr>
            <w:tcW w:type="dxa" w:w="2400"/>
            <w:shd w:fill="1a3a5c" w:val="clear"/>
            <w:tcMar>
              <w:top w:type="dxa" w:w="80"/>
              <w:left w:type="dxa" w:w="100"/>
              <w:bottom w:type="dxa" w:w="80"/>
              <w:right w:type="dxa" w:w="100"/>
            </w:tcMar>
          </w:tcPr>
          <w:p>
            <w:r>
              <w:rPr>
                <w:b/>
                <w:bCs/>
                <w:color w:val="FFFFFF"/>
                <w:sz w:val="20"/>
                <w:szCs w:val="20"/>
              </w:rPr>
              <w:t xml:space="preserve">Basis</w:t>
            </w:r>
          </w:p>
        </w:tc>
        <w:tc>
          <w:tcPr>
            <w:tcW w:type="dxa" w:w="2000"/>
            <w:shd w:fill="1a3a5c" w:val="clear"/>
            <w:tcMar>
              <w:top w:type="dxa" w:w="80"/>
              <w:left w:type="dxa" w:w="100"/>
              <w:bottom w:type="dxa" w:w="80"/>
              <w:right w:type="dxa" w:w="100"/>
            </w:tcMar>
          </w:tcPr>
          <w:p>
            <w:r>
              <w:rPr>
                <w:b/>
                <w:bCs/>
                <w:color w:val="FFFFFF"/>
                <w:sz w:val="20"/>
                <w:szCs w:val="20"/>
              </w:rPr>
              <w:t xml:space="preserve">Sensitivity</w:t>
            </w:r>
          </w:p>
        </w:tc>
      </w:tr>
      <w:tr>
        <w:tc>
          <w:tcPr>
            <w:tcW w:type="dxa" w:w="700"/>
            <w:tcMar>
              <w:top w:type="dxa" w:w="80"/>
              <w:left w:type="dxa" w:w="100"/>
              <w:bottom w:type="dxa" w:w="80"/>
              <w:right w:type="dxa" w:w="100"/>
            </w:tcMar>
          </w:tcPr>
          <w:p>
            <w:r>
              <w:rPr>
                <w:b w:val="false"/>
                <w:bCs w:val="false"/>
                <w:color w:val="000000"/>
                <w:sz w:val="20"/>
                <w:szCs w:val="20"/>
              </w:rPr>
              <w:t xml:space="preserve">MA1</w:t>
            </w:r>
          </w:p>
        </w:tc>
        <w:tc>
          <w:tcPr>
            <w:tcW w:type="dxa" w:w="2000"/>
            <w:tcMar>
              <w:top w:type="dxa" w:w="80"/>
              <w:left w:type="dxa" w:w="100"/>
              <w:bottom w:type="dxa" w:w="80"/>
              <w:right w:type="dxa" w:w="100"/>
            </w:tcMar>
          </w:tcPr>
          <w:p>
            <w:r>
              <w:rPr>
                <w:b w:val="false"/>
                <w:bCs w:val="false"/>
                <w:color w:val="000000"/>
                <w:sz w:val="20"/>
                <w:szCs w:val="20"/>
              </w:rPr>
              <w:t xml:space="preserve">Days from case launch to release freeze</w:t>
            </w:r>
          </w:p>
        </w:tc>
        <w:tc>
          <w:tcPr>
            <w:tcW w:type="dxa" w:w="2400"/>
            <w:tcMar>
              <w:top w:type="dxa" w:w="80"/>
              <w:left w:type="dxa" w:w="100"/>
              <w:bottom w:type="dxa" w:w="80"/>
              <w:right w:type="dxa" w:w="100"/>
            </w:tcMar>
          </w:tcPr>
          <w:p>
            <w:r>
              <w:rPr>
                <w:b w:val="false"/>
                <w:bCs w:val="false"/>
                <w:color w:val="000000"/>
                <w:sz w:val="20"/>
                <w:szCs w:val="20"/>
              </w:rPr>
              <w:t xml:space="preserve">3 days</w:t>
            </w:r>
          </w:p>
        </w:tc>
        <w:tc>
          <w:tcPr>
            <w:tcW w:type="dxa" w:w="2400"/>
            <w:tcMar>
              <w:top w:type="dxa" w:w="80"/>
              <w:left w:type="dxa" w:w="100"/>
              <w:bottom w:type="dxa" w:w="80"/>
              <w:right w:type="dxa" w:w="100"/>
            </w:tcMar>
          </w:tcPr>
          <w:p>
            <w:r>
              <w:rPr>
                <w:b w:val="false"/>
                <w:bCs w:val="false"/>
                <w:color w:val="000000"/>
                <w:sz w:val="20"/>
                <w:szCs w:val="20"/>
              </w:rPr>
              <w:t xml:space="preserve">Matches the Overview's “night before the release freeze” framing.</w:t>
            </w:r>
          </w:p>
        </w:tc>
        <w:tc>
          <w:tcPr>
            <w:tcW w:type="dxa" w:w="2000"/>
            <w:tcMar>
              <w:top w:type="dxa" w:w="80"/>
              <w:left w:type="dxa" w:w="100"/>
              <w:bottom w:type="dxa" w:w="80"/>
              <w:right w:type="dxa" w:w="100"/>
            </w:tcMar>
          </w:tcPr>
          <w:p>
            <w:r>
              <w:rPr>
                <w:b w:val="false"/>
                <w:bCs w:val="false"/>
                <w:color w:val="000000"/>
                <w:sz w:val="20"/>
                <w:szCs w:val="20"/>
              </w:rPr>
              <w:t xml:space="preserve">None — flavor only, not load-bearing.</w:t>
            </w:r>
          </w:p>
        </w:tc>
      </w:tr>
      <w:tr>
        <w:tc>
          <w:tcPr>
            <w:tcW w:type="dxa" w:w="700"/>
            <w:shd w:fill="F7F9FB" w:val="clear"/>
            <w:tcMar>
              <w:top w:type="dxa" w:w="80"/>
              <w:left w:type="dxa" w:w="100"/>
              <w:bottom w:type="dxa" w:w="80"/>
              <w:right w:type="dxa" w:w="100"/>
            </w:tcMar>
          </w:tcPr>
          <w:p>
            <w:r>
              <w:rPr>
                <w:b w:val="false"/>
                <w:bCs w:val="false"/>
                <w:color w:val="000000"/>
                <w:sz w:val="20"/>
                <w:szCs w:val="20"/>
              </w:rPr>
              <w:t xml:space="preserve">MA2</w:t>
            </w:r>
          </w:p>
        </w:tc>
        <w:tc>
          <w:tcPr>
            <w:tcW w:type="dxa" w:w="2000"/>
            <w:shd w:fill="F7F9FB" w:val="clear"/>
            <w:tcMar>
              <w:top w:type="dxa" w:w="80"/>
              <w:left w:type="dxa" w:w="100"/>
              <w:bottom w:type="dxa" w:w="80"/>
              <w:right w:type="dxa" w:w="100"/>
            </w:tcMar>
          </w:tcPr>
          <w:p>
            <w:r>
              <w:rPr>
                <w:b w:val="false"/>
                <w:bCs w:val="false"/>
                <w:color w:val="000000"/>
                <w:sz w:val="20"/>
                <w:szCs w:val="20"/>
              </w:rPr>
              <w:t xml:space="preserve">Latency SLA per batch of 10,000 rollups</w:t>
            </w:r>
          </w:p>
        </w:tc>
        <w:tc>
          <w:tcPr>
            <w:tcW w:type="dxa" w:w="2400"/>
            <w:shd w:fill="F7F9FB" w:val="clear"/>
            <w:tcMar>
              <w:top w:type="dxa" w:w="80"/>
              <w:left w:type="dxa" w:w="100"/>
              <w:bottom w:type="dxa" w:w="80"/>
              <w:right w:type="dxa" w:w="100"/>
            </w:tcMar>
          </w:tcPr>
          <w:p>
            <w:r>
              <w:rPr>
                <w:b w:val="false"/>
                <w:bCs w:val="false"/>
                <w:color w:val="000000"/>
                <w:sz w:val="20"/>
                <w:szCs w:val="20"/>
              </w:rPr>
              <w:t xml:space="preserve">500 ms</w:t>
            </w:r>
          </w:p>
        </w:tc>
        <w:tc>
          <w:tcPr>
            <w:tcW w:type="dxa" w:w="2400"/>
            <w:shd w:fill="F7F9FB" w:val="clear"/>
            <w:tcMar>
              <w:top w:type="dxa" w:w="80"/>
              <w:left w:type="dxa" w:w="100"/>
              <w:bottom w:type="dxa" w:w="80"/>
              <w:right w:type="dxa" w:w="100"/>
            </w:tcMar>
          </w:tcPr>
          <w:p>
            <w:r>
              <w:rPr>
                <w:b w:val="false"/>
                <w:bCs w:val="false"/>
                <w:color w:val="000000"/>
                <w:sz w:val="20"/>
                <w:szCs w:val="20"/>
              </w:rPr>
              <w:t xml:space="preserve">No public SLA exists in exactly this unit; general published low-latency data-pipeline guidance puts operational batch targets in the tens-to-hundreds-of-ms range, so a round, conservative value is stated.</w:t>
            </w:r>
          </w:p>
        </w:tc>
        <w:tc>
          <w:tcPr>
            <w:tcW w:type="dxa" w:w="2000"/>
            <w:shd w:fill="F7F9FB" w:val="clear"/>
            <w:tcMar>
              <w:top w:type="dxa" w:w="80"/>
              <w:left w:type="dxa" w:w="100"/>
              <w:bottom w:type="dxa" w:w="80"/>
              <w:right w:type="dxa" w:w="100"/>
            </w:tcMar>
          </w:tcPr>
          <w:p>
            <w:r>
              <w:rPr>
                <w:b w:val="false"/>
                <w:bCs w:val="false"/>
                <w:color w:val="000000"/>
                <w:sz w:val="20"/>
                <w:szCs w:val="20"/>
              </w:rPr>
              <w:t xml:space="preserve">Does not flip the recommendation — Option A's real Deep-row cost blows past any SLA from 50 ms to 5,000 ms.</w:t>
            </w:r>
          </w:p>
        </w:tc>
      </w:tr>
      <w:tr>
        <w:tc>
          <w:tcPr>
            <w:tcW w:type="dxa" w:w="700"/>
            <w:tcMar>
              <w:top w:type="dxa" w:w="80"/>
              <w:left w:type="dxa" w:w="100"/>
              <w:bottom w:type="dxa" w:w="80"/>
              <w:right w:type="dxa" w:w="100"/>
            </w:tcMar>
          </w:tcPr>
          <w:p>
            <w:r>
              <w:rPr>
                <w:b w:val="false"/>
                <w:bCs w:val="false"/>
                <w:color w:val="000000"/>
                <w:sz w:val="20"/>
                <w:szCs w:val="20"/>
              </w:rPr>
              <w:t xml:space="preserve">MA3</w:t>
            </w:r>
          </w:p>
        </w:tc>
        <w:tc>
          <w:tcPr>
            <w:tcW w:type="dxa" w:w="2000"/>
            <w:tcMar>
              <w:top w:type="dxa" w:w="80"/>
              <w:left w:type="dxa" w:w="100"/>
              <w:bottom w:type="dxa" w:w="80"/>
              <w:right w:type="dxa" w:w="100"/>
            </w:tcMar>
          </w:tcPr>
          <w:p>
            <w:r>
              <w:rPr>
                <w:b w:val="false"/>
                <w:bCs w:val="false"/>
                <w:color w:val="000000"/>
                <w:sz w:val="20"/>
                <w:szCs w:val="20"/>
              </w:rPr>
              <w:t xml:space="preserve">Lines of code, recursive implementation</w:t>
            </w:r>
          </w:p>
        </w:tc>
        <w:tc>
          <w:tcPr>
            <w:tcW w:type="dxa" w:w="2400"/>
            <w:tcMar>
              <w:top w:type="dxa" w:w="80"/>
              <w:left w:type="dxa" w:w="100"/>
              <w:bottom w:type="dxa" w:w="80"/>
              <w:right w:type="dxa" w:w="100"/>
            </w:tcMar>
          </w:tcPr>
          <w:p>
            <w:r>
              <w:rPr>
                <w:b w:val="false"/>
                <w:bCs w:val="false"/>
                <w:color w:val="000000"/>
                <w:sz w:val="20"/>
                <w:szCs w:val="20"/>
              </w:rPr>
              <w:t xml:space="preserve">16 lines</w:t>
            </w:r>
          </w:p>
        </w:tc>
        <w:tc>
          <w:tcPr>
            <w:tcW w:type="dxa" w:w="2400"/>
            <w:tcMar>
              <w:top w:type="dxa" w:w="80"/>
              <w:left w:type="dxa" w:w="100"/>
              <w:bottom w:type="dxa" w:w="80"/>
              <w:right w:type="dxa" w:w="100"/>
            </w:tcMar>
          </w:tcPr>
          <w:p>
            <w:r>
              <w:rPr>
                <w:b w:val="false"/>
                <w:bCs w:val="false"/>
                <w:color w:val="000000"/>
                <w:sz w:val="20"/>
                <w:szCs w:val="20"/>
              </w:rPr>
              <w:t xml:space="preserve">Illustrative — matches the case's “fewer lines of code” framing.</w:t>
            </w:r>
          </w:p>
        </w:tc>
        <w:tc>
          <w:tcPr>
            <w:tcW w:type="dxa" w:w="2000"/>
            <w:tcMar>
              <w:top w:type="dxa" w:w="80"/>
              <w:left w:type="dxa" w:w="100"/>
              <w:bottom w:type="dxa" w:w="80"/>
              <w:right w:type="dxa" w:w="100"/>
            </w:tcMar>
          </w:tcPr>
          <w:p>
            <w:r>
              <w:rPr>
                <w:b w:val="false"/>
                <w:bCs w:val="false"/>
                <w:color w:val="000000"/>
                <w:sz w:val="20"/>
                <w:szCs w:val="20"/>
              </w:rPr>
              <w:t xml:space="preserve">None — flavor only.</w:t>
            </w:r>
          </w:p>
        </w:tc>
      </w:tr>
      <w:tr>
        <w:tc>
          <w:tcPr>
            <w:tcW w:type="dxa" w:w="700"/>
            <w:shd w:fill="F7F9FB" w:val="clear"/>
            <w:tcMar>
              <w:top w:type="dxa" w:w="80"/>
              <w:left w:type="dxa" w:w="100"/>
              <w:bottom w:type="dxa" w:w="80"/>
              <w:right w:type="dxa" w:w="100"/>
            </w:tcMar>
          </w:tcPr>
          <w:p>
            <w:r>
              <w:rPr>
                <w:b w:val="false"/>
                <w:bCs w:val="false"/>
                <w:color w:val="000000"/>
                <w:sz w:val="20"/>
                <w:szCs w:val="20"/>
              </w:rPr>
              <w:t xml:space="preserve">MA4</w:t>
            </w:r>
          </w:p>
        </w:tc>
        <w:tc>
          <w:tcPr>
            <w:tcW w:type="dxa" w:w="2000"/>
            <w:shd w:fill="F7F9FB" w:val="clear"/>
            <w:tcMar>
              <w:top w:type="dxa" w:w="80"/>
              <w:left w:type="dxa" w:w="100"/>
              <w:bottom w:type="dxa" w:w="80"/>
              <w:right w:type="dxa" w:w="100"/>
            </w:tcMar>
          </w:tcPr>
          <w:p>
            <w:r>
              <w:rPr>
                <w:b w:val="false"/>
                <w:bCs w:val="false"/>
                <w:color w:val="000000"/>
                <w:sz w:val="20"/>
                <w:szCs w:val="20"/>
              </w:rPr>
              <w:t xml:space="preserve">Lines of code, iterative implementation</w:t>
            </w:r>
          </w:p>
        </w:tc>
        <w:tc>
          <w:tcPr>
            <w:tcW w:type="dxa" w:w="2400"/>
            <w:shd w:fill="F7F9FB" w:val="clear"/>
            <w:tcMar>
              <w:top w:type="dxa" w:w="80"/>
              <w:left w:type="dxa" w:w="100"/>
              <w:bottom w:type="dxa" w:w="80"/>
              <w:right w:type="dxa" w:w="100"/>
            </w:tcMar>
          </w:tcPr>
          <w:p>
            <w:r>
              <w:rPr>
                <w:b w:val="false"/>
                <w:bCs w:val="false"/>
                <w:color w:val="000000"/>
                <w:sz w:val="20"/>
                <w:szCs w:val="20"/>
              </w:rPr>
              <w:t xml:space="preserve">34 lines</w:t>
            </w:r>
          </w:p>
        </w:tc>
        <w:tc>
          <w:tcPr>
            <w:tcW w:type="dxa" w:w="2400"/>
            <w:shd w:fill="F7F9FB" w:val="clear"/>
            <w:tcMar>
              <w:top w:type="dxa" w:w="80"/>
              <w:left w:type="dxa" w:w="100"/>
              <w:bottom w:type="dxa" w:w="80"/>
              <w:right w:type="dxa" w:w="100"/>
            </w:tcMar>
          </w:tcPr>
          <w:p>
            <w:r>
              <w:rPr>
                <w:b w:val="false"/>
                <w:bCs w:val="false"/>
                <w:color w:val="000000"/>
                <w:sz w:val="20"/>
                <w:szCs w:val="20"/>
              </w:rPr>
              <w:t xml:space="preserve">Illustrative — an explicit flattening loop plus a manual stack is longer than the direct recursive translation.</w:t>
            </w:r>
          </w:p>
        </w:tc>
        <w:tc>
          <w:tcPr>
            <w:tcW w:type="dxa" w:w="2000"/>
            <w:shd w:fill="F7F9FB" w:val="clear"/>
            <w:tcMar>
              <w:top w:type="dxa" w:w="80"/>
              <w:left w:type="dxa" w:w="100"/>
              <w:bottom w:type="dxa" w:w="80"/>
              <w:right w:type="dxa" w:w="100"/>
            </w:tcMar>
          </w:tcPr>
          <w:p>
            <w:r>
              <w:rPr>
                <w:b w:val="false"/>
                <w:bCs w:val="false"/>
                <w:color w:val="000000"/>
                <w:sz w:val="20"/>
                <w:szCs w:val="20"/>
              </w:rPr>
              <w:t xml:space="preserve">None — flavor only.</w:t>
            </w:r>
          </w:p>
        </w:tc>
      </w:tr>
      <w:tr>
        <w:tc>
          <w:tcPr>
            <w:tcW w:type="dxa" w:w="700"/>
            <w:tcMar>
              <w:top w:type="dxa" w:w="80"/>
              <w:left w:type="dxa" w:w="100"/>
              <w:bottom w:type="dxa" w:w="80"/>
              <w:right w:type="dxa" w:w="100"/>
            </w:tcMar>
          </w:tcPr>
          <w:p>
            <w:r>
              <w:rPr>
                <w:b w:val="false"/>
                <w:bCs w:val="false"/>
                <w:color w:val="000000"/>
                <w:sz w:val="20"/>
                <w:szCs w:val="20"/>
              </w:rPr>
              <w:t xml:space="preserve">MA5</w:t>
            </w:r>
          </w:p>
        </w:tc>
        <w:tc>
          <w:tcPr>
            <w:tcW w:type="dxa" w:w="2000"/>
            <w:tcMar>
              <w:top w:type="dxa" w:w="80"/>
              <w:left w:type="dxa" w:w="100"/>
              <w:bottom w:type="dxa" w:w="80"/>
              <w:right w:type="dxa" w:w="100"/>
            </w:tcMar>
          </w:tcPr>
          <w:p>
            <w:r>
              <w:rPr>
                <w:b w:val="false"/>
                <w:bCs w:val="false"/>
                <w:color w:val="000000"/>
                <w:sz w:val="20"/>
                <w:szCs w:val="20"/>
              </w:rPr>
              <w:t xml:space="preserve">Appendix D, Medium row (all three cells)</w:t>
            </w:r>
          </w:p>
        </w:tc>
        <w:tc>
          <w:tcPr>
            <w:tcW w:type="dxa" w:w="2400"/>
            <w:tcMar>
              <w:top w:type="dxa" w:w="80"/>
              <w:left w:type="dxa" w:w="100"/>
              <w:bottom w:type="dxa" w:w="80"/>
              <w:right w:type="dxa" w:w="100"/>
            </w:tcMar>
          </w:tcPr>
          <w:p>
            <w:r>
              <w:rPr>
                <w:b w:val="false"/>
                <w:bCs w:val="false"/>
                <w:color w:val="000000"/>
                <w:sz w:val="20"/>
                <w:szCs w:val="20"/>
              </w:rPr>
              <w:t xml:space="preserve">Iterative 0.259 ms; TCO-honored 0.343 ms; TCO-not-honored 3,508 ms</w:t>
            </w:r>
          </w:p>
        </w:tc>
        <w:tc>
          <w:tcPr>
            <w:tcW w:type="dxa" w:w="2400"/>
            <w:tcMar>
              <w:top w:type="dxa" w:w="80"/>
              <w:left w:type="dxa" w:w="100"/>
              <w:bottom w:type="dxa" w:w="80"/>
              <w:right w:type="dxa" w:w="100"/>
            </w:tcMar>
          </w:tcPr>
          <w:p>
            <w:r>
              <w:rPr>
                <w:b w:val="false"/>
                <w:bCs w:val="false"/>
                <w:color w:val="000000"/>
                <w:sz w:val="20"/>
                <w:szCs w:val="20"/>
              </w:rPr>
              <w:t xml:space="preserve">Linearly interpolated (Iterative, TCO-honored columns) or log-linearly interpolated (TCO-not-honored column) between the two directly-measured endpoints — Shallow (S1) and Deep (S2).</w:t>
            </w:r>
          </w:p>
        </w:tc>
        <w:tc>
          <w:tcPr>
            <w:tcW w:type="dxa" w:w="2000"/>
            <w:tcMar>
              <w:top w:type="dxa" w:w="80"/>
              <w:left w:type="dxa" w:w="100"/>
              <w:bottom w:type="dxa" w:w="80"/>
              <w:right w:type="dxa" w:w="100"/>
            </w:tcMar>
          </w:tcPr>
          <w:p>
            <w:r>
              <w:rPr>
                <w:b w:val="false"/>
                <w:bCs w:val="false"/>
                <w:color w:val="000000"/>
                <w:sz w:val="20"/>
                <w:szCs w:val="20"/>
              </w:rPr>
              <w:t xml:space="preserve">Does not affect margin_pct (computed at the Shallow row). The two anchor benchmarks were run five years apart on different hardware and Go versions — treat as order-of-magnitude illustrations of the trend, not measurements.</w:t>
            </w:r>
          </w:p>
        </w:tc>
      </w:tr>
      <w:tr>
        <w:tc>
          <w:tcPr>
            <w:tcW w:type="dxa" w:w="700"/>
            <w:shd w:fill="F7F9FB" w:val="clear"/>
            <w:tcMar>
              <w:top w:type="dxa" w:w="80"/>
              <w:left w:type="dxa" w:w="100"/>
              <w:bottom w:type="dxa" w:w="80"/>
              <w:right w:type="dxa" w:w="100"/>
            </w:tcMar>
          </w:tcPr>
          <w:p>
            <w:r>
              <w:rPr>
                <w:b w:val="false"/>
                <w:bCs w:val="false"/>
                <w:color w:val="000000"/>
                <w:sz w:val="20"/>
                <w:szCs w:val="20"/>
              </w:rPr>
              <w:t xml:space="preserve">MA6</w:t>
            </w:r>
          </w:p>
        </w:tc>
        <w:tc>
          <w:tcPr>
            <w:tcW w:type="dxa" w:w="2000"/>
            <w:shd w:fill="F7F9FB" w:val="clear"/>
            <w:tcMar>
              <w:top w:type="dxa" w:w="80"/>
              <w:left w:type="dxa" w:w="100"/>
              <w:bottom w:type="dxa" w:w="80"/>
              <w:right w:type="dxa" w:w="100"/>
            </w:tcMar>
          </w:tcPr>
          <w:p>
            <w:r>
              <w:rPr>
                <w:b w:val="false"/>
                <w:bCs w:val="false"/>
                <w:color w:val="000000"/>
                <w:sz w:val="20"/>
                <w:szCs w:val="20"/>
              </w:rPr>
              <w:t xml:space="preserve">Appendix D, Deep row, Iterative cell</w:t>
            </w:r>
          </w:p>
        </w:tc>
        <w:tc>
          <w:tcPr>
            <w:tcW w:type="dxa" w:w="2400"/>
            <w:shd w:fill="F7F9FB" w:val="clear"/>
            <w:tcMar>
              <w:top w:type="dxa" w:w="80"/>
              <w:left w:type="dxa" w:w="100"/>
              <w:bottom w:type="dxa" w:w="80"/>
              <w:right w:type="dxa" w:w="100"/>
            </w:tcMar>
          </w:tcPr>
          <w:p>
            <w:r>
              <w:rPr>
                <w:b w:val="false"/>
                <w:bCs w:val="false"/>
                <w:color w:val="000000"/>
                <w:sz w:val="20"/>
                <w:szCs w:val="20"/>
              </w:rPr>
              <w:t xml:space="preserve">0.354 ms (set equal to the same row's TCO-honored figure)</w:t>
            </w:r>
          </w:p>
        </w:tc>
        <w:tc>
          <w:tcPr>
            <w:tcW w:type="dxa" w:w="2400"/>
            <w:shd w:fill="F7F9FB" w:val="clear"/>
            <w:tcMar>
              <w:top w:type="dxa" w:w="80"/>
              <w:left w:type="dxa" w:w="100"/>
              <w:bottom w:type="dxa" w:w="80"/>
              <w:right w:type="dxa" w:w="100"/>
            </w:tcMar>
          </w:tcPr>
          <w:p>
            <w:r>
              <w:rPr>
                <w:b w:val="false"/>
                <w:bCs w:val="false"/>
                <w:color w:val="000000"/>
                <w:sz w:val="20"/>
                <w:szCs w:val="20"/>
              </w:rPr>
              <w:t xml:space="preserve">No standalone iterative Fibonacci(40) benchmark was published in the cited repository. Under a TCO-honoring compilation, a tail call compiles to the same loop structure as an explicit iterative implementation.</w:t>
            </w:r>
          </w:p>
        </w:tc>
        <w:tc>
          <w:tcPr>
            <w:tcW w:type="dxa" w:w="2000"/>
            <w:shd w:fill="F7F9FB" w:val="clear"/>
            <w:tcMar>
              <w:top w:type="dxa" w:w="80"/>
              <w:left w:type="dxa" w:w="100"/>
              <w:bottom w:type="dxa" w:w="80"/>
              <w:right w:type="dxa" w:w="100"/>
            </w:tcMar>
          </w:tcPr>
          <w:p>
            <w:r>
              <w:rPr>
                <w:b w:val="false"/>
                <w:bCs w:val="false"/>
                <w:color w:val="000000"/>
                <w:sz w:val="20"/>
                <w:szCs w:val="20"/>
              </w:rPr>
              <w:t xml:space="preserve">Does not affect margin_pct (computed at the Shallow row).</w:t>
            </w:r>
          </w:p>
        </w:tc>
      </w:tr>
      <w:tr>
        <w:tc>
          <w:tcPr>
            <w:tcW w:type="dxa" w:w="700"/>
            <w:tcMar>
              <w:top w:type="dxa" w:w="80"/>
              <w:left w:type="dxa" w:w="100"/>
              <w:bottom w:type="dxa" w:w="80"/>
              <w:right w:type="dxa" w:w="100"/>
            </w:tcMar>
          </w:tcPr>
          <w:p>
            <w:r>
              <w:rPr>
                <w:b w:val="false"/>
                <w:bCs w:val="false"/>
                <w:color w:val="000000"/>
                <w:sz w:val="20"/>
                <w:szCs w:val="20"/>
              </w:rPr>
              <w:t xml:space="preserve">MA7</w:t>
            </w:r>
          </w:p>
        </w:tc>
        <w:tc>
          <w:tcPr>
            <w:tcW w:type="dxa" w:w="2000"/>
            <w:tcMar>
              <w:top w:type="dxa" w:w="80"/>
              <w:left w:type="dxa" w:w="100"/>
              <w:bottom w:type="dxa" w:w="80"/>
              <w:right w:type="dxa" w:w="100"/>
            </w:tcMar>
          </w:tcPr>
          <w:p>
            <w:r>
              <w:rPr>
                <w:b w:val="false"/>
                <w:bCs w:val="false"/>
                <w:color w:val="000000"/>
                <w:sz w:val="20"/>
                <w:szCs w:val="20"/>
              </w:rPr>
              <w:t xml:space="preserve">Target language/runtime for the release</w:t>
            </w:r>
          </w:p>
        </w:tc>
        <w:tc>
          <w:tcPr>
            <w:tcW w:type="dxa" w:w="2400"/>
            <w:tcMar>
              <w:top w:type="dxa" w:w="80"/>
              <w:left w:type="dxa" w:w="100"/>
              <w:bottom w:type="dxa" w:w="80"/>
              <w:right w:type="dxa" w:w="100"/>
            </w:tcMar>
          </w:tcPr>
          <w:p>
            <w:r>
              <w:rPr>
                <w:b w:val="false"/>
                <w:bCs w:val="false"/>
                <w:color w:val="000000"/>
                <w:sz w:val="20"/>
                <w:szCs w:val="20"/>
              </w:rPr>
              <w:t xml:space="preserve">Go</w:t>
            </w:r>
          </w:p>
        </w:tc>
        <w:tc>
          <w:tcPr>
            <w:tcW w:type="dxa" w:w="2400"/>
            <w:tcMar>
              <w:top w:type="dxa" w:w="80"/>
              <w:left w:type="dxa" w:w="100"/>
              <w:bottom w:type="dxa" w:w="80"/>
              <w:right w:type="dxa" w:w="100"/>
            </w:tcMar>
          </w:tcPr>
          <w:p>
            <w:r>
              <w:rPr>
                <w:b w:val="false"/>
                <w:bCs w:val="false"/>
                <w:color w:val="000000"/>
                <w:sz w:val="20"/>
                <w:szCs w:val="20"/>
              </w:rPr>
              <w:t xml:space="preserve">Go is a widely used systems/backend language for high-throughput metering and billing services, and its compiler team has repeatedly and publicly declined to guarantee general tail-call optimization — this is what supplies the case's real analytical fork.</w:t>
            </w:r>
          </w:p>
        </w:tc>
        <w:tc>
          <w:tcPr>
            <w:tcW w:type="dxa" w:w="2000"/>
            <w:tcMar>
              <w:top w:type="dxa" w:w="80"/>
              <w:left w:type="dxa" w:w="100"/>
              <w:bottom w:type="dxa" w:w="80"/>
              <w:right w:type="dxa" w:w="100"/>
            </w:tcMar>
          </w:tcPr>
          <w:p>
            <w:r>
              <w:rPr>
                <w:b w:val="false"/>
                <w:bCs w:val="false"/>
                <w:color w:val="000000"/>
                <w:sz w:val="20"/>
                <w:szCs w:val="20"/>
              </w:rPr>
              <w:t xml:space="preserve">HIGH — the single most dilemma-relevant modeling choice in the case. A Hero should be pushed to notice this is a stated choice, not an immovable fact.</w:t>
            </w:r>
          </w:p>
        </w:tc>
      </w:tr>
    </w:tbl>
    <w:p>
      <w:pPr>
        <w:pStyle w:val="Heading2"/>
        <w:spacing w:after="120" w:before="220"/>
      </w:pPr>
      <w:r>
        <w:rPr>
          <w:b/>
          <w:bCs/>
          <w:color w:val="1a3a5c"/>
          <w:sz w:val="26"/>
          <w:szCs w:val="26"/>
        </w:rPr>
        <w:t xml:space="preserve">Appendix F: Sources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100"/>
        <w:gridCol w:w="2400"/>
        <w:gridCol w:w="1000"/>
        <w:gridCol w:w="1000"/>
      </w:tblGrid>
      <w:tr>
        <w:trPr>
          <w:tblHeader/>
        </w:trPr>
        <w:tc>
          <w:tcPr>
            <w:tcW w:type="dxa" w:w="500"/>
            <w:shd w:fill="1a3a5c" w:val="clear"/>
            <w:tcMar>
              <w:top w:type="dxa" w:w="80"/>
              <w:left w:type="dxa" w:w="100"/>
              <w:bottom w:type="dxa" w:w="80"/>
              <w:right w:type="dxa" w:w="100"/>
            </w:tcMar>
          </w:tcPr>
          <w:p>
            <w:r>
              <w:rPr>
                <w:b/>
                <w:bCs/>
                <w:color w:val="FFFFFF"/>
                <w:sz w:val="20"/>
                <w:szCs w:val="20"/>
              </w:rPr>
              <w:t xml:space="preserve">#</w:t>
            </w:r>
          </w:p>
        </w:tc>
        <w:tc>
          <w:tcPr>
            <w:tcW w:type="dxa" w:w="2500"/>
            <w:shd w:fill="1a3a5c" w:val="clear"/>
            <w:tcMar>
              <w:top w:type="dxa" w:w="80"/>
              <w:left w:type="dxa" w:w="100"/>
              <w:bottom w:type="dxa" w:w="80"/>
              <w:right w:type="dxa" w:w="100"/>
            </w:tcMar>
          </w:tcPr>
          <w:p>
            <w:r>
              <w:rPr>
                <w:b/>
                <w:bCs/>
                <w:color w:val="FFFFFF"/>
                <w:sz w:val="20"/>
                <w:szCs w:val="20"/>
              </w:rPr>
              <w:t xml:space="preserve">Claim</w:t>
            </w:r>
          </w:p>
        </w:tc>
        <w:tc>
          <w:tcPr>
            <w:tcW w:type="dxa" w:w="2100"/>
            <w:shd w:fill="1a3a5c" w:val="clear"/>
            <w:tcMar>
              <w:top w:type="dxa" w:w="80"/>
              <w:left w:type="dxa" w:w="100"/>
              <w:bottom w:type="dxa" w:w="80"/>
              <w:right w:type="dxa" w:w="100"/>
            </w:tcMar>
          </w:tcPr>
          <w:p>
            <w:r>
              <w:rPr>
                <w:b/>
                <w:bCs/>
                <w:color w:val="FFFFFF"/>
                <w:sz w:val="20"/>
                <w:szCs w:val="20"/>
              </w:rPr>
              <w:t xml:space="preserve">Value</w:t>
            </w:r>
          </w:p>
        </w:tc>
        <w:tc>
          <w:tcPr>
            <w:tcW w:type="dxa" w:w="2400"/>
            <w:shd w:fill="1a3a5c" w:val="clear"/>
            <w:tcMar>
              <w:top w:type="dxa" w:w="80"/>
              <w:left w:type="dxa" w:w="100"/>
              <w:bottom w:type="dxa" w:w="80"/>
              <w:right w:type="dxa" w:w="100"/>
            </w:tcMar>
          </w:tcPr>
          <w:p>
            <w:r>
              <w:rPr>
                <w:b/>
                <w:bCs/>
                <w:color w:val="FFFFFF"/>
                <w:sz w:val="20"/>
                <w:szCs w:val="20"/>
              </w:rPr>
              <w:t xml:space="preserve">Source</w:t>
            </w:r>
          </w:p>
        </w:tc>
        <w:tc>
          <w:tcPr>
            <w:tcW w:type="dxa" w:w="1000"/>
            <w:shd w:fill="1a3a5c" w:val="clear"/>
            <w:tcMar>
              <w:top w:type="dxa" w:w="80"/>
              <w:left w:type="dxa" w:w="100"/>
              <w:bottom w:type="dxa" w:w="80"/>
              <w:right w:type="dxa" w:w="100"/>
            </w:tcMar>
          </w:tcPr>
          <w:p>
            <w:r>
              <w:rPr>
                <w:b/>
                <w:bCs/>
                <w:color w:val="FFFFFF"/>
                <w:sz w:val="20"/>
                <w:szCs w:val="20"/>
              </w:rPr>
              <w:t xml:space="preserve">Date</w:t>
            </w:r>
          </w:p>
        </w:tc>
        <w:tc>
          <w:tcPr>
            <w:tcW w:type="dxa" w:w="1000"/>
            <w:shd w:fill="1a3a5c" w:val="clear"/>
            <w:tcMar>
              <w:top w:type="dxa" w:w="80"/>
              <w:left w:type="dxa" w:w="100"/>
              <w:bottom w:type="dxa" w:w="80"/>
              <w:right w:type="dxa" w:w="100"/>
            </w:tcMar>
          </w:tcPr>
          <w:p>
            <w:r>
              <w:rPr>
                <w:b/>
                <w:bCs/>
                <w:color w:val="FFFFFF"/>
                <w:sz w:val="20"/>
                <w:szCs w:val="20"/>
              </w:rPr>
              <w:t xml:space="preserve">Confidence</w:t>
            </w:r>
          </w:p>
        </w:tc>
      </w:tr>
      <w:tr>
        <w:tc>
          <w:tcPr>
            <w:tcW w:type="dxa" w:w="500"/>
            <w:tcMar>
              <w:top w:type="dxa" w:w="80"/>
              <w:left w:type="dxa" w:w="100"/>
              <w:bottom w:type="dxa" w:w="80"/>
              <w:right w:type="dxa" w:w="100"/>
            </w:tcMar>
          </w:tcPr>
          <w:p>
            <w:r>
              <w:rPr>
                <w:b w:val="false"/>
                <w:bCs w:val="false"/>
                <w:color w:val="000000"/>
                <w:sz w:val="20"/>
                <w:szCs w:val="20"/>
              </w:rPr>
              <w:t xml:space="preserve">S1</w:t>
            </w:r>
          </w:p>
        </w:tc>
        <w:tc>
          <w:tcPr>
            <w:tcW w:type="dxa" w:w="2500"/>
            <w:tcMar>
              <w:top w:type="dxa" w:w="80"/>
              <w:left w:type="dxa" w:w="100"/>
              <w:bottom w:type="dxa" w:w="80"/>
              <w:right w:type="dxa" w:w="100"/>
            </w:tcMar>
          </w:tcPr>
          <w:p>
            <w:r>
              <w:rPr>
                <w:b w:val="false"/>
                <w:bCs w:val="false"/>
                <w:color w:val="000000"/>
                <w:sz w:val="20"/>
                <w:szCs w:val="20"/>
              </w:rPr>
              <w:t xml:space="preserve">Go benchmark, Fibonacci(10): iterative vs. tail-recursive vs. plain recursive, ns/op</w:t>
            </w:r>
          </w:p>
        </w:tc>
        <w:tc>
          <w:tcPr>
            <w:tcW w:type="dxa" w:w="2100"/>
            <w:tcMar>
              <w:top w:type="dxa" w:w="80"/>
              <w:left w:type="dxa" w:w="100"/>
              <w:bottom w:type="dxa" w:w="80"/>
              <w:right w:type="dxa" w:w="100"/>
            </w:tcMar>
          </w:tcPr>
          <w:p>
            <w:r>
              <w:rPr>
                <w:b w:val="false"/>
                <w:bCs w:val="false"/>
                <w:color w:val="000000"/>
                <w:sz w:val="20"/>
                <w:szCs w:val="20"/>
              </w:rPr>
              <w:t xml:space="preserve">Iterative 16.4; Tail-recursive 33.3; Recursive 394</w:t>
            </w:r>
          </w:p>
        </w:tc>
        <w:tc>
          <w:tcPr>
            <w:tcW w:type="dxa" w:w="2400"/>
            <w:tcMar>
              <w:top w:type="dxa" w:w="80"/>
              <w:left w:type="dxa" w:w="100"/>
              <w:bottom w:type="dxa" w:w="80"/>
              <w:right w:type="dxa" w:w="100"/>
            </w:tcMar>
          </w:tcPr>
          <w:p>
            <w:hyperlink w:history="1" r:id="rId62erizbsjma5a-uefpoih">
              <w:r>
                <w:rPr>
                  <w:rStyle w:val="Hyperlink"/>
                  <w:color w:val="1a3a5c"/>
                  <w:u w:val="single"/>
                </w:rPr>
                <w:t xml:space="preserve">Felipe Dutra Tine e Silva — "Iterative vs Recursive vs Tail-Recursive in Golang" (Medium)</w:t>
              </w:r>
            </w:hyperlink>
          </w:p>
        </w:tc>
        <w:tc>
          <w:tcPr>
            <w:tcW w:type="dxa" w:w="1000"/>
            <w:tcMar>
              <w:top w:type="dxa" w:w="80"/>
              <w:left w:type="dxa" w:w="100"/>
              <w:bottom w:type="dxa" w:w="80"/>
              <w:right w:type="dxa" w:w="100"/>
            </w:tcMar>
          </w:tcPr>
          <w:p>
            <w:r>
              <w:rPr>
                <w:b w:val="false"/>
                <w:bCs w:val="false"/>
                <w:color w:val="000000"/>
                <w:sz w:val="20"/>
                <w:szCs w:val="20"/>
              </w:rPr>
              <w:t xml:space="preserve">2017-01-25</w:t>
            </w:r>
          </w:p>
        </w:tc>
        <w:tc>
          <w:tcPr>
            <w:tcW w:type="dxa" w:w="1000"/>
            <w:tcMar>
              <w:top w:type="dxa" w:w="80"/>
              <w:left w:type="dxa" w:w="100"/>
              <w:bottom w:type="dxa" w:w="80"/>
              <w:right w:type="dxa" w:w="100"/>
            </w:tcMar>
          </w:tcPr>
          <w:p>
            <w:r>
              <w:rPr>
                <w:b w:val="false"/>
                <w:bCs w:val="false"/>
                <w:color w:val="000000"/>
                <w:sz w:val="20"/>
                <w:szCs w:val="20"/>
              </w:rPr>
              <w:t xml:space="preserve">HIGH</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S2</w:t>
            </w:r>
          </w:p>
        </w:tc>
        <w:tc>
          <w:tcPr>
            <w:tcW w:type="dxa" w:w="2500"/>
            <w:shd w:fill="F7F9FB" w:val="clear"/>
            <w:tcMar>
              <w:top w:type="dxa" w:w="80"/>
              <w:left w:type="dxa" w:w="100"/>
              <w:bottom w:type="dxa" w:w="80"/>
              <w:right w:type="dxa" w:w="100"/>
            </w:tcMar>
          </w:tcPr>
          <w:p>
            <w:r>
              <w:rPr>
                <w:b w:val="false"/>
                <w:bCs w:val="false"/>
                <w:color w:val="000000"/>
                <w:sz w:val="20"/>
                <w:szCs w:val="20"/>
              </w:rPr>
              <w:t xml:space="preserve">Go benchmark, Fibonacci(40): naive (non-tail-callable) recursion vs. tail-call-restructured rewrite, ns/op</w:t>
            </w:r>
          </w:p>
        </w:tc>
        <w:tc>
          <w:tcPr>
            <w:tcW w:type="dxa" w:w="2100"/>
            <w:shd w:fill="F7F9FB" w:val="clear"/>
            <w:tcMar>
              <w:top w:type="dxa" w:w="80"/>
              <w:left w:type="dxa" w:w="100"/>
              <w:bottom w:type="dxa" w:w="80"/>
              <w:right w:type="dxa" w:w="100"/>
            </w:tcMar>
          </w:tcPr>
          <w:p>
            <w:r>
              <w:rPr>
                <w:b w:val="false"/>
                <w:bCs w:val="false"/>
                <w:color w:val="000000"/>
                <w:sz w:val="20"/>
                <w:szCs w:val="20"/>
              </w:rPr>
              <w:t xml:space="preserve">BasicRecursion 312,238,250; TCORecursion 35.36</w:t>
            </w:r>
          </w:p>
        </w:tc>
        <w:tc>
          <w:tcPr>
            <w:tcW w:type="dxa" w:w="2400"/>
            <w:shd w:fill="F7F9FB" w:val="clear"/>
            <w:tcMar>
              <w:top w:type="dxa" w:w="80"/>
              <w:left w:type="dxa" w:w="100"/>
              <w:bottom w:type="dxa" w:w="80"/>
              <w:right w:type="dxa" w:w="100"/>
            </w:tcMar>
          </w:tcPr>
          <w:p>
            <w:hyperlink w:history="1" r:id="rIdlruuvvqd7gnmnr6tbo7q7">
              <w:r>
                <w:rPr>
                  <w:rStyle w:val="Hyperlink"/>
                  <w:color w:val="1a3a5c"/>
                  <w:u w:val="single"/>
                </w:rPr>
                <w:t xml:space="preserve">K. Adam Christensen ("pope") — go_recursive_benchmark (GitHub)</w:t>
              </w:r>
            </w:hyperlink>
          </w:p>
        </w:tc>
        <w:tc>
          <w:tcPr>
            <w:tcW w:type="dxa" w:w="1000"/>
            <w:shd w:fill="F7F9FB" w:val="clear"/>
            <w:tcMar>
              <w:top w:type="dxa" w:w="80"/>
              <w:left w:type="dxa" w:w="100"/>
              <w:bottom w:type="dxa" w:w="80"/>
              <w:right w:type="dxa" w:w="100"/>
            </w:tcMar>
          </w:tcPr>
          <w:p>
            <w:r>
              <w:rPr>
                <w:b w:val="false"/>
                <w:bCs w:val="false"/>
                <w:color w:val="000000"/>
                <w:sz w:val="20"/>
                <w:szCs w:val="20"/>
              </w:rPr>
              <w:t xml:space="preserve">2022-12-31</w:t>
            </w:r>
          </w:p>
        </w:tc>
        <w:tc>
          <w:tcPr>
            <w:tcW w:type="dxa" w:w="1000"/>
            <w:shd w:fill="F7F9FB" w:val="clear"/>
            <w:tcMar>
              <w:top w:type="dxa" w:w="80"/>
              <w:left w:type="dxa" w:w="100"/>
              <w:bottom w:type="dxa" w:w="80"/>
              <w:right w:type="dxa" w:w="100"/>
            </w:tcMar>
          </w:tcPr>
          <w:p>
            <w:r>
              <w:rPr>
                <w:b w:val="false"/>
                <w:bCs w:val="false"/>
                <w:color w:val="000000"/>
                <w:sz w:val="20"/>
                <w:szCs w:val="20"/>
              </w:rPr>
              <w:t xml:space="preserve">HIGH</w:t>
            </w:r>
          </w:p>
        </w:tc>
      </w:tr>
      <w:tr>
        <w:tc>
          <w:tcPr>
            <w:tcW w:type="dxa" w:w="500"/>
            <w:tcMar>
              <w:top w:type="dxa" w:w="80"/>
              <w:left w:type="dxa" w:w="100"/>
              <w:bottom w:type="dxa" w:w="80"/>
              <w:right w:type="dxa" w:w="100"/>
            </w:tcMar>
          </w:tcPr>
          <w:p>
            <w:r>
              <w:rPr>
                <w:b w:val="false"/>
                <w:bCs w:val="false"/>
                <w:color w:val="000000"/>
                <w:sz w:val="20"/>
                <w:szCs w:val="20"/>
              </w:rPr>
              <w:t xml:space="preserve">S3</w:t>
            </w:r>
          </w:p>
        </w:tc>
        <w:tc>
          <w:tcPr>
            <w:tcW w:type="dxa" w:w="2500"/>
            <w:tcMar>
              <w:top w:type="dxa" w:w="80"/>
              <w:left w:type="dxa" w:w="100"/>
              <w:bottom w:type="dxa" w:w="80"/>
              <w:right w:type="dxa" w:w="100"/>
            </w:tcMar>
          </w:tcPr>
          <w:p>
            <w:r>
              <w:rPr>
                <w:b w:val="false"/>
                <w:bCs w:val="false"/>
                <w:color w:val="000000"/>
                <w:sz w:val="20"/>
                <w:szCs w:val="20"/>
              </w:rPr>
              <w:t xml:space="preserve">Publicly documented production postmortem: recursive map-reduce billing-aggregation bug, divergent totals</w:t>
            </w:r>
          </w:p>
        </w:tc>
        <w:tc>
          <w:tcPr>
            <w:tcW w:type="dxa" w:w="2100"/>
            <w:tcMar>
              <w:top w:type="dxa" w:w="80"/>
              <w:left w:type="dxa" w:w="100"/>
              <w:bottom w:type="dxa" w:w="80"/>
              <w:right w:type="dxa" w:w="100"/>
            </w:tcMar>
          </w:tcPr>
          <w:p>
            <w:r>
              <w:rPr>
                <w:b w:val="false"/>
                <w:bCs w:val="false"/>
                <w:color w:val="000000"/>
                <w:sz w:val="20"/>
                <w:szCs w:val="20"/>
              </w:rPr>
              <w:t xml:space="preserve">–67,343 and +67,329 (same account, different cluster nodes)</w:t>
            </w:r>
          </w:p>
        </w:tc>
        <w:tc>
          <w:tcPr>
            <w:tcW w:type="dxa" w:w="2400"/>
            <w:tcMar>
              <w:top w:type="dxa" w:w="80"/>
              <w:left w:type="dxa" w:w="100"/>
              <w:bottom w:type="dxa" w:w="80"/>
              <w:right w:type="dxa" w:w="100"/>
            </w:tcMar>
          </w:tcPr>
          <w:p>
            <w:hyperlink w:history="1" r:id="rIdrtcwmtdogo-dguiw0du_e">
              <w:r>
                <w:rPr>
                  <w:rStyle w:val="Hyperlink"/>
                  <w:color w:val="1a3a5c"/>
                  <w:u w:val="single"/>
                </w:rPr>
                <w:t xml:space="preserve">Oren Eini (Ayende Rahien) — "Production postmortem: Your math is wrong, recursion doesn't work this way" (ayende.com)</w:t>
              </w:r>
            </w:hyperlink>
          </w:p>
        </w:tc>
        <w:tc>
          <w:tcPr>
            <w:tcW w:type="dxa" w:w="1000"/>
            <w:tcMar>
              <w:top w:type="dxa" w:w="80"/>
              <w:left w:type="dxa" w:w="100"/>
              <w:bottom w:type="dxa" w:w="80"/>
              <w:right w:type="dxa" w:w="100"/>
            </w:tcMar>
          </w:tcPr>
          <w:p>
            <w:r>
              <w:rPr>
                <w:b w:val="false"/>
                <w:bCs w:val="false"/>
                <w:color w:val="000000"/>
                <w:sz w:val="20"/>
                <w:szCs w:val="20"/>
              </w:rPr>
              <w:t xml:space="preserve">2022-07-13</w:t>
            </w:r>
          </w:p>
        </w:tc>
        <w:tc>
          <w:tcPr>
            <w:tcW w:type="dxa" w:w="1000"/>
            <w:tcMar>
              <w:top w:type="dxa" w:w="80"/>
              <w:left w:type="dxa" w:w="100"/>
              <w:bottom w:type="dxa" w:w="80"/>
              <w:right w:type="dxa" w:w="100"/>
            </w:tcMar>
          </w:tcPr>
          <w:p>
            <w:r>
              <w:rPr>
                <w:b w:val="false"/>
                <w:bCs w:val="false"/>
                <w:color w:val="000000"/>
                <w:sz w:val="20"/>
                <w:szCs w:val="20"/>
              </w:rPr>
              <w:t xml:space="preserve">HIGH</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S4</w:t>
            </w:r>
          </w:p>
        </w:tc>
        <w:tc>
          <w:tcPr>
            <w:tcW w:type="dxa" w:w="2500"/>
            <w:shd w:fill="F7F9FB" w:val="clear"/>
            <w:tcMar>
              <w:top w:type="dxa" w:w="80"/>
              <w:left w:type="dxa" w:w="100"/>
              <w:bottom w:type="dxa" w:w="80"/>
              <w:right w:type="dxa" w:w="100"/>
            </w:tcMar>
          </w:tcPr>
          <w:p>
            <w:r>
              <w:rPr>
                <w:b w:val="false"/>
                <w:bCs w:val="false"/>
                <w:color w:val="000000"/>
                <w:sz w:val="20"/>
                <w:szCs w:val="20"/>
              </w:rPr>
              <w:t xml:space="preserve">Whether Go guarantees or reliably applies tail-call optimization</w:t>
            </w:r>
          </w:p>
        </w:tc>
        <w:tc>
          <w:tcPr>
            <w:tcW w:type="dxa" w:w="2100"/>
            <w:shd w:fill="F7F9FB" w:val="clear"/>
            <w:tcMar>
              <w:top w:type="dxa" w:w="80"/>
              <w:left w:type="dxa" w:w="100"/>
              <w:bottom w:type="dxa" w:w="80"/>
              <w:right w:type="dxa" w:w="100"/>
            </w:tcMar>
          </w:tcPr>
          <w:p>
            <w:r>
              <w:rPr>
                <w:b w:val="false"/>
                <w:bCs w:val="false"/>
                <w:color w:val="000000"/>
                <w:sz w:val="20"/>
                <w:szCs w:val="20"/>
              </w:rPr>
              <w:t xml:space="preserve">No</w:t>
            </w:r>
          </w:p>
        </w:tc>
        <w:tc>
          <w:tcPr>
            <w:tcW w:type="dxa" w:w="2400"/>
            <w:shd w:fill="F7F9FB" w:val="clear"/>
            <w:tcMar>
              <w:top w:type="dxa" w:w="80"/>
              <w:left w:type="dxa" w:w="100"/>
              <w:bottom w:type="dxa" w:w="80"/>
              <w:right w:type="dxa" w:w="100"/>
            </w:tcMar>
          </w:tcPr>
          <w:p>
            <w:hyperlink w:history="1" r:id="rIdf68jcvktasdawvq7sgnwy">
              <w:r>
                <w:rPr>
                  <w:rStyle w:val="Hyperlink"/>
                  <w:color w:val="1a3a5c"/>
                  <w:u w:val="single"/>
                </w:rPr>
                <w:t xml:space="preserve">Ian Lance Taylor (Go team) — golang/go issue #22624</w:t>
              </w:r>
            </w:hyperlink>
          </w:p>
        </w:tc>
        <w:tc>
          <w:tcPr>
            <w:tcW w:type="dxa" w:w="1000"/>
            <w:shd w:fill="F7F9FB" w:val="clear"/>
            <w:tcMar>
              <w:top w:type="dxa" w:w="80"/>
              <w:left w:type="dxa" w:w="100"/>
              <w:bottom w:type="dxa" w:w="80"/>
              <w:right w:type="dxa" w:w="100"/>
            </w:tcMar>
          </w:tcPr>
          <w:p>
            <w:r>
              <w:rPr>
                <w:b w:val="false"/>
                <w:bCs w:val="false"/>
                <w:color w:val="000000"/>
                <w:sz w:val="20"/>
                <w:szCs w:val="20"/>
              </w:rPr>
              <w:t xml:space="preserve">Ongoing (issue open)</w:t>
            </w:r>
          </w:p>
        </w:tc>
        <w:tc>
          <w:tcPr>
            <w:tcW w:type="dxa" w:w="1000"/>
            <w:shd w:fill="F7F9FB" w:val="clear"/>
            <w:tcMar>
              <w:top w:type="dxa" w:w="80"/>
              <w:left w:type="dxa" w:w="100"/>
              <w:bottom w:type="dxa" w:w="80"/>
              <w:right w:type="dxa" w:w="100"/>
            </w:tcMar>
          </w:tcPr>
          <w:p>
            <w:r>
              <w:rPr>
                <w:b w:val="false"/>
                <w:bCs w:val="false"/>
                <w:color w:val="000000"/>
                <w:sz w:val="20"/>
                <w:szCs w:val="20"/>
              </w:rPr>
              <w:t xml:space="preserve">HIGH</w:t>
            </w:r>
          </w:p>
        </w:tc>
      </w:tr>
      <w:tr>
        <w:tc>
          <w:tcPr>
            <w:tcW w:type="dxa" w:w="500"/>
            <w:tcMar>
              <w:top w:type="dxa" w:w="80"/>
              <w:left w:type="dxa" w:w="100"/>
              <w:bottom w:type="dxa" w:w="80"/>
              <w:right w:type="dxa" w:w="100"/>
            </w:tcMar>
          </w:tcPr>
          <w:p>
            <w:r>
              <w:rPr>
                <w:b w:val="false"/>
                <w:bCs w:val="false"/>
                <w:color w:val="000000"/>
                <w:sz w:val="20"/>
                <w:szCs w:val="20"/>
              </w:rPr>
              <w:t xml:space="preserve">S5</w:t>
            </w:r>
          </w:p>
        </w:tc>
        <w:tc>
          <w:tcPr>
            <w:tcW w:type="dxa" w:w="2500"/>
            <w:tcMar>
              <w:top w:type="dxa" w:w="80"/>
              <w:left w:type="dxa" w:w="100"/>
              <w:bottom w:type="dxa" w:w="80"/>
              <w:right w:type="dxa" w:w="100"/>
            </w:tcMar>
          </w:tcPr>
          <w:p>
            <w:r>
              <w:rPr>
                <w:b w:val="false"/>
                <w:bCs w:val="false"/>
                <w:color w:val="000000"/>
                <w:sz w:val="20"/>
                <w:szCs w:val="20"/>
              </w:rPr>
              <w:t xml:space="preserve">Maximum nesting depth of a real, published multi-tenant nested-account hierarchy</w:t>
            </w:r>
          </w:p>
        </w:tc>
        <w:tc>
          <w:tcPr>
            <w:tcW w:type="dxa" w:w="2100"/>
            <w:tcMar>
              <w:top w:type="dxa" w:w="80"/>
              <w:left w:type="dxa" w:w="100"/>
              <w:bottom w:type="dxa" w:w="80"/>
              <w:right w:type="dxa" w:w="100"/>
            </w:tcMar>
          </w:tcPr>
          <w:p>
            <w:r>
              <w:rPr>
                <w:b w:val="false"/>
                <w:bCs w:val="false"/>
                <w:color w:val="000000"/>
                <w:sz w:val="20"/>
                <w:szCs w:val="20"/>
              </w:rPr>
              <w:t xml:space="preserve">5 levels</w:t>
            </w:r>
          </w:p>
        </w:tc>
        <w:tc>
          <w:tcPr>
            <w:tcW w:type="dxa" w:w="2400"/>
            <w:tcMar>
              <w:top w:type="dxa" w:w="80"/>
              <w:left w:type="dxa" w:w="100"/>
              <w:bottom w:type="dxa" w:w="80"/>
              <w:right w:type="dxa" w:w="100"/>
            </w:tcMar>
          </w:tcPr>
          <w:p>
            <w:hyperlink w:history="1" r:id="rIdhw-4uck27gdd1lwx5s8ap">
              <w:r>
                <w:rPr>
                  <w:rStyle w:val="Hyperlink"/>
                  <w:color w:val="1a3a5c"/>
                  <w:u w:val="single"/>
                </w:rPr>
                <w:t xml:space="preserve">AWS — AWS Organizations FAQs</w:t>
              </w:r>
            </w:hyperlink>
          </w:p>
        </w:tc>
        <w:tc>
          <w:tcPr>
            <w:tcW w:type="dxa" w:w="1000"/>
            <w:tcMar>
              <w:top w:type="dxa" w:w="80"/>
              <w:left w:type="dxa" w:w="100"/>
              <w:bottom w:type="dxa" w:w="80"/>
              <w:right w:type="dxa" w:w="100"/>
            </w:tcMar>
          </w:tcPr>
          <w:p>
            <w:r>
              <w:rPr>
                <w:b w:val="false"/>
                <w:bCs w:val="false"/>
                <w:color w:val="000000"/>
                <w:sz w:val="20"/>
                <w:szCs w:val="20"/>
              </w:rPr>
              <w:t xml:space="preserve">Current</w:t>
            </w:r>
          </w:p>
        </w:tc>
        <w:tc>
          <w:tcPr>
            <w:tcW w:type="dxa" w:w="1000"/>
            <w:tcMar>
              <w:top w:type="dxa" w:w="80"/>
              <w:left w:type="dxa" w:w="100"/>
              <w:bottom w:type="dxa" w:w="80"/>
              <w:right w:type="dxa" w:w="100"/>
            </w:tcMar>
          </w:tcPr>
          <w:p>
            <w:r>
              <w:rPr>
                <w:b w:val="false"/>
                <w:bCs w:val="false"/>
                <w:color w:val="000000"/>
                <w:sz w:val="20"/>
                <w:szCs w:val="20"/>
              </w:rPr>
              <w:t xml:space="preserve">MEDIUM</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S6</w:t>
            </w:r>
          </w:p>
        </w:tc>
        <w:tc>
          <w:tcPr>
            <w:tcW w:type="dxa" w:w="2500"/>
            <w:shd w:fill="F7F9FB" w:val="clear"/>
            <w:tcMar>
              <w:top w:type="dxa" w:w="80"/>
              <w:left w:type="dxa" w:w="100"/>
              <w:bottom w:type="dxa" w:w="80"/>
              <w:right w:type="dxa" w:w="100"/>
            </w:tcMar>
          </w:tcPr>
          <w:p>
            <w:r>
              <w:rPr>
                <w:b w:val="false"/>
                <w:bCs w:val="false"/>
                <w:color w:val="000000"/>
                <w:sz w:val="20"/>
                <w:szCs w:val="20"/>
              </w:rPr>
              <w:t xml:space="preserve">Disclosed processing scale of a real usage-based billing platform</w:t>
            </w:r>
          </w:p>
        </w:tc>
        <w:tc>
          <w:tcPr>
            <w:tcW w:type="dxa" w:w="2100"/>
            <w:shd w:fill="F7F9FB" w:val="clear"/>
            <w:tcMar>
              <w:top w:type="dxa" w:w="80"/>
              <w:left w:type="dxa" w:w="100"/>
              <w:bottom w:type="dxa" w:w="80"/>
              <w:right w:type="dxa" w:w="100"/>
            </w:tcMar>
          </w:tcPr>
          <w:p>
            <w:r>
              <w:rPr>
                <w:b w:val="false"/>
                <w:bCs w:val="false"/>
                <w:color w:val="000000"/>
                <w:sz w:val="20"/>
                <w:szCs w:val="20"/>
              </w:rPr>
              <w:t xml:space="preserve">Billions of events/day; tens of thousands of invoices/sec</w:t>
            </w:r>
          </w:p>
        </w:tc>
        <w:tc>
          <w:tcPr>
            <w:tcW w:type="dxa" w:w="2400"/>
            <w:shd w:fill="F7F9FB" w:val="clear"/>
            <w:tcMar>
              <w:top w:type="dxa" w:w="80"/>
              <w:left w:type="dxa" w:w="100"/>
              <w:bottom w:type="dxa" w:w="80"/>
              <w:right w:type="dxa" w:w="100"/>
            </w:tcMar>
          </w:tcPr>
          <w:p>
            <w:hyperlink w:history="1" r:id="rIdewgb_wd_doz5nie2_ngar">
              <w:r>
                <w:rPr>
                  <w:rStyle w:val="Hyperlink"/>
                  <w:color w:val="1a3a5c"/>
                  <w:u w:val="single"/>
                </w:rPr>
                <w:t xml:space="preserve">Metronome, via Confluent customer case study</w:t>
              </w:r>
            </w:hyperlink>
          </w:p>
        </w:tc>
        <w:tc>
          <w:tcPr>
            <w:tcW w:type="dxa" w:w="1000"/>
            <w:shd w:fill="F7F9FB" w:val="clear"/>
            <w:tcMar>
              <w:top w:type="dxa" w:w="80"/>
              <w:left w:type="dxa" w:w="100"/>
              <w:bottom w:type="dxa" w:w="80"/>
              <w:right w:type="dxa" w:w="100"/>
            </w:tcMar>
          </w:tcPr>
          <w:p>
            <w:r>
              <w:rPr>
                <w:b w:val="false"/>
                <w:bCs w:val="false"/>
                <w:color w:val="000000"/>
                <w:sz w:val="20"/>
                <w:szCs w:val="20"/>
              </w:rPr>
              <w:t xml:space="preserve">Undated page (accessed 2026-09-01)</w:t>
            </w:r>
          </w:p>
        </w:tc>
        <w:tc>
          <w:tcPr>
            <w:tcW w:type="dxa" w:w="1000"/>
            <w:shd w:fill="F7F9FB" w:val="clear"/>
            <w:tcMar>
              <w:top w:type="dxa" w:w="80"/>
              <w:left w:type="dxa" w:w="100"/>
              <w:bottom w:type="dxa" w:w="80"/>
              <w:right w:type="dxa" w:w="100"/>
            </w:tcMar>
          </w:tcPr>
          <w:p>
            <w:r>
              <w:rPr>
                <w:b w:val="false"/>
                <w:bCs w:val="false"/>
                <w:color w:val="000000"/>
                <w:sz w:val="20"/>
                <w:szCs w:val="20"/>
              </w:rPr>
              <w:t xml:space="preserve">MEDIUM</w:t>
            </w:r>
          </w:p>
        </w:tc>
      </w:tr>
      <w:tr>
        <w:tc>
          <w:tcPr>
            <w:tcW w:type="dxa" w:w="500"/>
            <w:tcMar>
              <w:top w:type="dxa" w:w="80"/>
              <w:left w:type="dxa" w:w="100"/>
              <w:bottom w:type="dxa" w:w="80"/>
              <w:right w:type="dxa" w:w="100"/>
            </w:tcMar>
          </w:tcPr>
          <w:p>
            <w:r>
              <w:rPr>
                <w:b w:val="false"/>
                <w:bCs w:val="false"/>
                <w:color w:val="000000"/>
                <w:sz w:val="20"/>
                <w:szCs w:val="20"/>
              </w:rPr>
              <w:t xml:space="preserve">S7</w:t>
            </w:r>
          </w:p>
        </w:tc>
        <w:tc>
          <w:tcPr>
            <w:tcW w:type="dxa" w:w="2500"/>
            <w:tcMar>
              <w:top w:type="dxa" w:w="80"/>
              <w:left w:type="dxa" w:w="100"/>
              <w:bottom w:type="dxa" w:w="80"/>
              <w:right w:type="dxa" w:w="100"/>
            </w:tcMar>
          </w:tcPr>
          <w:p>
            <w:r>
              <w:rPr>
                <w:b w:val="false"/>
                <w:bCs w:val="false"/>
                <w:color w:val="000000"/>
                <w:sz w:val="20"/>
                <w:szCs w:val="20"/>
              </w:rPr>
              <w:t xml:space="preserve">Derived: Appendix D, Deep row, Iterative cell</w:t>
            </w:r>
          </w:p>
        </w:tc>
        <w:tc>
          <w:tcPr>
            <w:tcW w:type="dxa" w:w="2100"/>
            <w:tcMar>
              <w:top w:type="dxa" w:w="80"/>
              <w:left w:type="dxa" w:w="100"/>
              <w:bottom w:type="dxa" w:w="80"/>
              <w:right w:type="dxa" w:w="100"/>
            </w:tcMar>
          </w:tcPr>
          <w:p>
            <w:r>
              <w:rPr>
                <w:b w:val="false"/>
                <w:bCs w:val="false"/>
                <w:color w:val="000000"/>
                <w:sz w:val="20"/>
                <w:szCs w:val="20"/>
              </w:rPr>
              <w:t xml:space="preserve">35.36 ns/op (= same row's TCO-honored figure, S2)</w:t>
            </w:r>
          </w:p>
        </w:tc>
        <w:tc>
          <w:tcPr>
            <w:tcW w:type="dxa" w:w="2400"/>
            <w:tcMar>
              <w:top w:type="dxa" w:w="80"/>
              <w:left w:type="dxa" w:w="100"/>
              <w:bottom w:type="dxa" w:w="80"/>
              <w:right w:type="dxa" w:w="100"/>
            </w:tcMar>
          </w:tcPr>
          <w:p>
            <w:r>
              <w:rPr>
                <w:sz w:val="20"/>
                <w:szCs w:val="20"/>
              </w:rPr>
              <w:t xml:space="preserve">Derived from S2 via structural equivalence — see MA6</w:t>
            </w:r>
          </w:p>
        </w:tc>
        <w:tc>
          <w:tcPr>
            <w:tcW w:type="dxa" w:w="1000"/>
            <w:tcMar>
              <w:top w:type="dxa" w:w="80"/>
              <w:left w:type="dxa" w:w="100"/>
              <w:bottom w:type="dxa" w:w="80"/>
              <w:right w:type="dxa" w:w="100"/>
            </w:tcMar>
          </w:tcPr>
          <w:p>
            <w:r>
              <w:rPr>
                <w:b w:val="false"/>
                <w:bCs w:val="false"/>
                <w:color w:val="000000"/>
                <w:sz w:val="20"/>
                <w:szCs w:val="20"/>
              </w:rPr>
              <w:t xml:space="preserve">2022-12-31 (S2's date)</w:t>
            </w:r>
          </w:p>
        </w:tc>
        <w:tc>
          <w:tcPr>
            <w:tcW w:type="dxa" w:w="1000"/>
            <w:tcMar>
              <w:top w:type="dxa" w:w="80"/>
              <w:left w:type="dxa" w:w="100"/>
              <w:bottom w:type="dxa" w:w="80"/>
              <w:right w:type="dxa" w:w="100"/>
            </w:tcMar>
          </w:tcPr>
          <w:p>
            <w:r>
              <w:rPr>
                <w:b w:val="false"/>
                <w:bCs w:val="false"/>
                <w:color w:val="000000"/>
                <w:sz w:val="20"/>
                <w:szCs w:val="20"/>
              </w:rPr>
              <w:t xml:space="preserve">MEDIUM</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S8</w:t>
            </w:r>
          </w:p>
        </w:tc>
        <w:tc>
          <w:tcPr>
            <w:tcW w:type="dxa" w:w="2500"/>
            <w:shd w:fill="F7F9FB" w:val="clear"/>
            <w:tcMar>
              <w:top w:type="dxa" w:w="80"/>
              <w:left w:type="dxa" w:w="100"/>
              <w:bottom w:type="dxa" w:w="80"/>
              <w:right w:type="dxa" w:w="100"/>
            </w:tcMar>
          </w:tcPr>
          <w:p>
            <w:r>
              <w:rPr>
                <w:b w:val="false"/>
                <w:bCs w:val="false"/>
                <w:color w:val="000000"/>
                <w:sz w:val="20"/>
                <w:szCs w:val="20"/>
              </w:rPr>
              <w:t xml:space="preserve">Derived: Appendix D, Medium row (all three cells)</w:t>
            </w:r>
          </w:p>
        </w:tc>
        <w:tc>
          <w:tcPr>
            <w:tcW w:type="dxa" w:w="2100"/>
            <w:shd w:fill="F7F9FB" w:val="clear"/>
            <w:tcMar>
              <w:top w:type="dxa" w:w="80"/>
              <w:left w:type="dxa" w:w="100"/>
              <w:bottom w:type="dxa" w:w="80"/>
              <w:right w:type="dxa" w:w="100"/>
            </w:tcMar>
          </w:tcPr>
          <w:p>
            <w:r>
              <w:rPr>
                <w:b w:val="false"/>
                <w:bCs w:val="false"/>
                <w:color w:val="000000"/>
                <w:sz w:val="20"/>
                <w:szCs w:val="20"/>
              </w:rPr>
              <w:t xml:space="preserve">Iterative 25.88; TCO-honored 34.33; TCO-not-honored 350,798 (ns/op)</w:t>
            </w:r>
          </w:p>
        </w:tc>
        <w:tc>
          <w:tcPr>
            <w:tcW w:type="dxa" w:w="2400"/>
            <w:shd w:fill="F7F9FB" w:val="clear"/>
            <w:tcMar>
              <w:top w:type="dxa" w:w="80"/>
              <w:left w:type="dxa" w:w="100"/>
              <w:bottom w:type="dxa" w:w="80"/>
              <w:right w:type="dxa" w:w="100"/>
            </w:tcMar>
          </w:tcPr>
          <w:p>
            <w:r>
              <w:rPr>
                <w:sz w:val="20"/>
                <w:szCs w:val="20"/>
              </w:rPr>
              <w:t xml:space="preserve">Interpolated between S1 (n=10) and S2 (n=40) — see MA5</w:t>
            </w:r>
          </w:p>
        </w:tc>
        <w:tc>
          <w:tcPr>
            <w:tcW w:type="dxa" w:w="1000"/>
            <w:shd w:fill="F7F9FB" w:val="clear"/>
            <w:tcMar>
              <w:top w:type="dxa" w:w="80"/>
              <w:left w:type="dxa" w:w="100"/>
              <w:bottom w:type="dxa" w:w="80"/>
              <w:right w:type="dxa" w:w="100"/>
            </w:tcMar>
          </w:tcPr>
          <w:p>
            <w:r>
              <w:rPr>
                <w:b w:val="false"/>
                <w:bCs w:val="false"/>
                <w:color w:val="000000"/>
                <w:sz w:val="20"/>
                <w:szCs w:val="20"/>
              </w:rPr>
              <w:t xml:space="preserve">2017-01-25 / 2022-12-31</w:t>
            </w:r>
          </w:p>
        </w:tc>
        <w:tc>
          <w:tcPr>
            <w:tcW w:type="dxa" w:w="1000"/>
            <w:shd w:fill="F7F9FB" w:val="clear"/>
            <w:tcMar>
              <w:top w:type="dxa" w:w="80"/>
              <w:left w:type="dxa" w:w="100"/>
              <w:bottom w:type="dxa" w:w="80"/>
              <w:right w:type="dxa" w:w="100"/>
            </w:tcMar>
          </w:tcPr>
          <w:p>
            <w:r>
              <w:rPr>
                <w:b w:val="false"/>
                <w:bCs w:val="false"/>
                <w:color w:val="000000"/>
                <w:sz w:val="20"/>
                <w:szCs w:val="20"/>
              </w:rPr>
              <w:t xml:space="preserve">LOW-MEDIUM</w:t>
            </w:r>
          </w:p>
        </w:tc>
      </w:tr>
    </w:tbl>
    <w:p>
      <w:pPr>
        <w:spacing w:after="160"/>
      </w:pPr>
      <w:r>
        <w:rPr>
          <w:i/>
          <w:iCs/>
          <w:color w:val="5b6472"/>
          <w:sz w:val="18"/>
          <w:szCs w:val="18"/>
        </w:rPr>
        <w:t xml:space="preserve">Unit conversion used throughout Appendix D: ms per 10,000 rollups = ns/op × 10,000 ÷ 1,000,000 = ns/op × 0.01.</w:t>
      </w:r>
    </w:p>
    <w:p>
      <w:pPr>
        <w:pStyle w:val="Heading3"/>
        <w:spacing w:after="100" w:before="180"/>
      </w:pPr>
      <w:r>
        <w:rPr>
          <w:b/>
          <w:bCs/>
          <w:color w:val="1a3a5c"/>
          <w:sz w:val="22"/>
          <w:szCs w:val="22"/>
        </w:rPr>
        <w:t xml:space="preserve">Appendix G — “How To…” Math Questions To Research</w:t>
      </w:r>
    </w:p>
    <w:p>
      <w:pPr>
        <w:spacing w:after="160"/>
      </w:pPr>
      <w:r>
        <w:rPr>
          <w:b/>
          <w:bCs/>
        </w:rPr>
        <w:t xml:space="preserve">Vocabulary terms</w:t>
      </w:r>
    </w:p>
    <w:p>
      <w:pPr>
        <w:pStyle w:val="ListParagraph"/>
        <w:numPr>
          <w:ilvl w:val="0"/>
          <w:numId w:val="3"/>
        </w:numPr>
        <w:spacing w:after="100"/>
      </w:pPr>
      <w:r>
        <w:t xml:space="preserve">Mathematical Induction</w:t>
      </w:r>
    </w:p>
    <w:p>
      <w:pPr>
        <w:pStyle w:val="ListParagraph"/>
        <w:numPr>
          <w:ilvl w:val="0"/>
          <w:numId w:val="3"/>
        </w:numPr>
        <w:spacing w:after="100"/>
      </w:pPr>
      <w:r>
        <w:t xml:space="preserve">Base Case</w:t>
      </w:r>
    </w:p>
    <w:p>
      <w:pPr>
        <w:pStyle w:val="ListParagraph"/>
        <w:numPr>
          <w:ilvl w:val="0"/>
          <w:numId w:val="3"/>
        </w:numPr>
        <w:spacing w:after="100"/>
      </w:pPr>
      <w:r>
        <w:t xml:space="preserve">Inductive Step</w:t>
      </w:r>
    </w:p>
    <w:p>
      <w:pPr>
        <w:spacing w:after="160"/>
      </w:pPr>
      <w:r>
        <w:rPr>
          <w:b/>
          <w:bCs/>
        </w:rPr>
        <w:t xml:space="preserve">“How to…” questions</w:t>
      </w:r>
    </w:p>
    <w:p>
      <w:pPr>
        <w:pStyle w:val="ListParagraph"/>
        <w:numPr>
          <w:ilvl w:val="0"/>
          <w:numId w:val="3"/>
        </w:numPr>
        <w:spacing w:after="100"/>
      </w:pPr>
      <w:r>
        <w:t xml:space="preserve">How to prove a statement using mathematical induction</w:t>
      </w:r>
    </w:p>
    <w:p>
      <w:pPr>
        <w:spacing w:after="160"/>
      </w:pPr>
      <w:r>
        <w:rPr>
          <w:i/>
          <w:iCs/>
          <w:sz w:val="19"/>
          <w:szCs w:val="19"/>
        </w:rPr>
        <w:t xml:space="preserve">Note on tail-call optimization (not a spine vocabulary term; background context only): this is the “speed-up trick” the Overview and Background refer to without naming it — a compiler technique that reuses the current function call's stack space for a recursive call that happens as the very last step, instead of stacking up a new frame for every nested call. Go, the language/runtime this case's company targets, does not apply it — see the real GitHub discussion at Appendix F, source S4.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2erizbsjma5a-uefpoih" Type="http://schemas.openxmlformats.org/officeDocument/2006/relationships/hyperlink" Target="https://medium.com/@felipedutratine/iterative-vs-recursive-vs-tail-recursive-in-golang-c196ca5fd489" TargetMode="External"/><Relationship Id="rIdlruuvvqd7gnmnr6tbo7q7" Type="http://schemas.openxmlformats.org/officeDocument/2006/relationships/hyperlink" Target="https://github.com/pope/go_recursive_benchmark" TargetMode="External"/><Relationship Id="rIdrtcwmtdogo-dguiw0du_e" Type="http://schemas.openxmlformats.org/officeDocument/2006/relationships/hyperlink" Target="https://ayende.com/blog/197637-A/production-postmortem-your-math-is-wrong-recursion-doesnt-work-this-way" TargetMode="External"/><Relationship Id="rIdf68jcvktasdawvq7sgnwy" Type="http://schemas.openxmlformats.org/officeDocument/2006/relationships/hyperlink" Target="https://github.com/golang/go/issues/22624" TargetMode="External"/><Relationship Id="rIdhw-4uck27gdd1lwx5s8ap" Type="http://schemas.openxmlformats.org/officeDocument/2006/relationships/hyperlink" Target="https://aws.amazon.com/organizations/faqs/" TargetMode="External"/><Relationship Id="rIdewgb_wd_doz5nie2_ngar" Type="http://schemas.openxmlformats.org/officeDocument/2006/relationships/hyperlink" Target="https://www.confluent.io/customers/metronom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2026-09-01T20:47:35.964Z</dcterms:created>
  <dcterms:modified xsi:type="dcterms:W3CDTF">2026-09-01T20:47:35.965Z</dcterms:modified>
</cp:coreProperties>
</file>

<file path=docProps/custom.xml><?xml version="1.0" encoding="utf-8"?>
<Properties xmlns="http://schemas.openxmlformats.org/officeDocument/2006/custom-properties" xmlns:vt="http://schemas.openxmlformats.org/officeDocument/2006/docPropsVTypes"/>
</file>