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Bracket Cliff</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Priya Nakamura has two draft memos open side by side on her monitor, cursor blinking at the end of neither. Pinned to the cubicle wall behind her is a single printed chart — a jagged line that falls off a cliff at one exact income level and never recovers — the same chart she has now stared at long enough that she could redraw it from memory. Her office in the state's health benefit exchange is quiet this late; the budget office cleared out an hour ago, but the calendar invite for tomorrow morning's markup meeting is still sitting unanswered in her inbox, subject line: </w:t>
      </w:r>
      <w:r>
        <w:rPr>
          <w:b/>
          <w:bCs/>
        </w:rPr>
        <w:t xml:space="preserve">RECOMMENDATION DUE.</w:t>
      </w:r>
    </w:p>
    <w:p>
      <w:r>
        <w:t xml:space="preserve">Her phone buzzes, face-down on the desk, for the third time in ten minutes — the legislative aide, again, asking if she has a number yet. She doesn't answer it. Instead she opens a spreadsheet tab she has rebuilt from scratch twice already, one column for a household that does nothing different and falls straight through the gap in the chart, another for what it would cost the state to catch them. Both columns are still blank past the header row.</w:t>
      </w:r>
    </w:p>
    <w:p>
      <w:r>
        <w:t xml:space="preserve">She minimizes the spreadsheet. On her second monitor, the two memo drafts wait — one recommends spending nothing and living with the gap; the other recommends asking the legislature for real, ongoing money to close it. Both are addressed to the same committee. Both have her name at the bottom. She saves neither, and reaches for the keyboard.</w:t>
      </w:r>
    </w:p>
    <w:p>
      <w:pPr>
        <w:pStyle w:val="Heading2"/>
        <w:spacing w:after="120" w:before="240"/>
      </w:pPr>
      <w:r>
        <w:t xml:space="preserve">Background</w:t>
      </w:r>
    </w:p>
    <w:p>
      <w:r>
        <w:t xml:space="preserve">Priya Nakamura is a senior policy analyst in a state health benefit exchange's policy office — the state-level office responsible for administering the exchange marketplace where residents buy individual health insurance and, where eligible, receive premium subsidies. She is accountable for the technical recommendation the exchange's director carries into the legislature's budget markup: whether the state should spend part of a one-time discretionary line item in this budget cycle to change how the exchange treats households whose income lands just above a specific federal eligibility line, before that line item is locked in for the year (SEE APPENDIX E).</w:t>
      </w:r>
    </w:p>
    <w:p>
      <w:r>
        <w:t xml:space="preserve">The federal government sets premium subsidies for marketplace insurance on a sliding scale tied to income, expressed as a percentage of the Federal Poverty Line (FPL). A temporary federal enhancement in effect from 2021 through 2025 removed the upper income cap on that sliding scale entirely, so no household lost its subsidy purely for earning too much. That enhancement was not extended, so for the current plan year the original rule is back in force: households at or below 400% of FPL receive a subsidy on the standard sliding scale; a household even one dollar above 400% of FPL receives no federal subsidy at all and must pay the full, unsubsidized premium (SEE APPENDIX A, APPENDIX B).</w:t>
      </w:r>
    </w:p>
    <w:p>
      <w:r>
        <w:t xml:space="preserve">Two options are before Priya. </w:t>
      </w:r>
      <w:r>
        <w:rPr>
          <w:b/>
          <w:bCs/>
        </w:rPr>
        <w:t xml:space="preserve">Hold The Cliff</w:t>
      </w:r>
      <w:r>
        <w:t xml:space="preserve"> applies the federal formula exactly as published, at zero direct cost to the state, leaving the sliding scale to end abruptly at 400% of FPL. </w:t>
      </w:r>
      <w:r>
        <w:rPr>
          <w:b/>
          <w:bCs/>
        </w:rPr>
        <w:t xml:space="preserve">Build The Bridge</w:t>
      </w:r>
      <w:r>
        <w:t xml:space="preserve"> would have the state fund its own wraparound subsidy — the same general approach several other states already fund for lower income bands (SEE APPENDIX D) — extending an income-scaled premium cap past 400% of FPL instead of letting it cut to zero. No state currently extends this kind of smoothing above 400% of FPL specifically; Build The Bridge is a genuine policy option grounded in what other states have already shown they are willing to fund, not a program that already exists anywhere in this exact form (SEE APPENDIX D).</w:t>
      </w:r>
    </w:p>
    <w:p>
      <w:r>
        <w:t xml:space="preserve">Every hard number this decision turns on — the exact income threshold, the dollar size of the gap a household falls into, and what it would cost the state to close that gap — is stated in the appendices, sourced or, where no public figure exists, disclosed openly as a Modeling Assumption once research is complete (SEE APPENDICES A, B, C, D, E, G). The discretionary line item Priya is working against, and the legislature's budget markup deadline, are fixed (SEE APPENDIX E).</w:t>
      </w:r>
    </w:p>
    <w:p>
      <w:r>
        <w:t xml:space="preserve">The vocabulary and "how to…" skills this case will ask you to research are listed in Appendix F — that is where Challenge 1 sends you.</w:t>
      </w:r>
    </w:p>
    <w:p>
      <w:pPr>
        <w:pStyle w:val="Heading2"/>
        <w:spacing w:after="120" w:before="240"/>
      </w:pPr>
      <w:r>
        <w:t xml:space="preserve">Dilemma</w:t>
      </w:r>
    </w:p>
    <w:p>
      <w:r>
        <w:t xml:space="preserve">You are Priya Nakamura.</w:t>
      </w:r>
    </w:p>
    <w:p>
      <w:r>
        <w:t xml:space="preserve">Do you:</w:t>
      </w:r>
    </w:p>
    <w:p>
      <w:r>
        <w:rPr>
          <w:b/>
          <w:bCs/>
        </w:rPr>
        <w:t xml:space="preserve">A.)</w:t>
      </w:r>
      <w:r>
        <w:t xml:space="preserve"> Recommend </w:t>
      </w:r>
      <w:r>
        <w:rPr>
          <w:b/>
          <w:bCs/>
        </w:rPr>
        <w:t xml:space="preserve">Hold The Cliff</w:t>
      </w:r>
      <w:r>
        <w:t xml:space="preserve"> — apply the federal subsidy formula exactly as published, at $0 in additional state cost, leaving the 400%-of-FPL cutoff in place </w:t>
      </w:r>
      <w:r>
        <w:rPr>
          <w:b/>
          <w:bCs/>
        </w:rPr>
        <w:t xml:space="preserve">OR</w:t>
      </w:r>
    </w:p>
    <w:p>
      <w:r>
        <w:rPr>
          <w:b/>
          <w:bCs/>
        </w:rPr>
        <w:t xml:space="preserve">B.)</w:t>
      </w:r>
      <w:r>
        <w:t xml:space="preserve"> Recommend </w:t>
      </w:r>
      <w:r>
        <w:rPr>
          <w:b/>
          <w:bCs/>
        </w:rPr>
        <w:t xml:space="preserve">Build The Bridge</w:t>
      </w:r>
      <w:r>
        <w:t xml:space="preserve"> — have the state fund its own wraparound subsidy extending an income-scaled premium cap past 400% of FPL, at the state's own ongoing budget cost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piecewise definition of the net cost function, plus both one-sided limits at the threshold, for Hold The Cliff.</w:t>
      </w:r>
      <w:r>
        <w:t xml:space="preserve"> Using Appendix A's threshold and Appendix B's household cost figures, write the household's annual net insurance cost </w:t>
      </w:r>
      <w:r>
        <w:rPr>
          <w:rFonts w:ascii="Courier New" w:cs="Courier New" w:eastAsia="Courier New" w:hAnsi="Courier New"/>
        </w:rPr>
        <w:t xml:space="preserve">C(income)</w:t>
      </w:r>
      <w:r>
        <w:t xml:space="preserve"> as a piecewise function of income under Hold The Cliff, then compute </w:t>
      </w:r>
      <w:r>
        <w:rPr>
          <w:rFonts w:ascii="Courier New" w:cs="Courier New" w:eastAsia="Courier New" w:hAnsi="Courier New"/>
        </w:rPr>
        <w:t xml:space="preserve">lim_{x→400%⁻} C(x)</w:t>
      </w:r>
      <w:r>
        <w:t xml:space="preserve"> and </w:t>
      </w:r>
      <w:r>
        <w:rPr>
          <w:rFonts w:ascii="Courier New" w:cs="Courier New" w:eastAsia="Courier New" w:hAnsi="Courier New"/>
        </w:rPr>
        <w:t xml:space="preserve">lim_{x→400%⁺} C(x)</w:t>
      </w:r>
      <w:r>
        <w:t xml:space="preserve"> algebraically, showing every step.</w:t>
      </w:r>
    </w:p>
    <w:p>
      <w:pPr>
        <w:ind w:left="360"/>
      </w:pPr>
      <w:r>
        <w:t xml:space="preserve">- </w:t>
      </w:r>
      <w:r>
        <w:rPr>
          <w:b/>
          <w:bCs/>
        </w:rPr>
        <w:t xml:space="preserve">D2 — A continuity test at the threshold for Hold The Cliff.</w:t>
      </w:r>
      <w:r>
        <w:t xml:space="preserve"> Using your D1 limits and Appendix A's threshold value, apply the three-part definition of continuity at a point to </w:t>
      </w:r>
      <w:r>
        <w:rPr>
          <w:rFonts w:ascii="Courier New" w:cs="Courier New" w:eastAsia="Courier New" w:hAnsi="Courier New"/>
        </w:rPr>
        <w:t xml:space="preserve">C(income)</w:t>
      </w:r>
      <w:r>
        <w:t xml:space="preserve"> at 400% of FPL under Hold The Cliff. State plainly which part of the definition fails, and name the resulting discontinuity.</w:t>
      </w:r>
    </w:p>
    <w:p>
      <w:pPr>
        <w:ind w:left="360"/>
      </w:pPr>
      <w:r>
        <w:t xml:space="preserve">- </w:t>
      </w:r>
      <w:r>
        <w:rPr>
          <w:b/>
          <w:bCs/>
        </w:rPr>
        <w:t xml:space="preserve">D3 — The same two computations for Build The Bridge.</w:t>
      </w:r>
      <w:r>
        <w:t xml:space="preserve"> Using Appendix C's continuous premium-cap formula, write Build The Bridge's net cost function </w:t>
      </w:r>
      <w:r>
        <w:rPr>
          <w:rFonts w:ascii="Courier New" w:cs="Courier New" w:eastAsia="Courier New" w:hAnsi="Courier New"/>
        </w:rPr>
        <w:t xml:space="preserve">C(income)</w:t>
      </w:r>
      <w:r>
        <w:t xml:space="preserve">, compute its one-sided limits at the same 400%-of-FPL threshold, and apply the same three-part continuity test. Show explicitly whether Build The Bridge passes where Hold The Cliff failed.</w:t>
      </w:r>
    </w:p>
    <w:p>
      <w:pPr>
        <w:ind w:left="360"/>
      </w:pPr>
      <w:r>
        <w:t xml:space="preserve">- </w:t>
      </w:r>
      <w:r>
        <w:rPr>
          <w:b/>
          <w:bCs/>
        </w:rPr>
        <w:t xml:space="preserve">D4 — A discontinuity-size-versus-cost table.</w:t>
      </w:r>
      <w:r>
        <w:t xml:space="preserve"> Using your D1–D3 results and Appendix A's income-threshold figures, compute (a) the dollar size of the jump discontinuity a household experiences under Hold The Cliff, and (b) Build The Bridge's real annual cost to the state — for (b), apply Appendix C's 8.5%-cap formula to that same household's income to find its capped payment, then scale the resulting per-household cost using Appendix E's enrollment and budget figures. Appendix D's real-world state program costs are context for your D5 recommendation, not a required input to this table's arithmetic.</w:t>
      </w:r>
    </w:p>
    <w:p>
      <w:pPr>
        <w:ind w:left="360"/>
      </w:pPr>
      <w:r>
        <w:t xml:space="preserve">- </w:t>
      </w:r>
      <w:r>
        <w:rPr>
          <w:b/>
          <w:bCs/>
        </w:rPr>
        <w:t xml:space="preserve">D5 — A recommendation memo</w:t>
      </w:r>
      <w:r>
        <w:t xml:space="preserve"> stating which option Priya should recommend, defended against the discretionary line item and the budget markup deadline in Appendix 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2026 Federal Poverty Line and the 400% Subsidy-Eligibility Threshold</w:t>
      </w:r>
    </w:p>
    <w:p>
      <w:r>
        <w:t xml:space="preserve">The 400%-of-FPL threshold is the income level at which a household's eligibility for the federal premium subsidy sliding scale ends entirely under the reinstated formula.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2026 federal poverty guideline basis this threshold is calculated from</w:t>
            </w:r>
          </w:p>
        </w:tc>
        <w:tc>
          <w:tcPr>
            <w:tcW w:type="dxa" w:w="4500"/>
          </w:tcPr>
          <w:p>
            <w:r>
              <w:t xml:space="preserve">ACA 2026 plan-year subsidy eligibility is fixed by statute to the HHS poverty guidelines published in </w:t>
            </w:r>
            <w:r>
              <w:rPr>
                <w:b/>
                <w:bCs/>
              </w:rPr>
              <w:t xml:space="preserve">January 2025</w:t>
            </w:r>
            <w:r>
              <w:t xml:space="preserve"> (household of 1: $15,650; household of 4: $32,150) [S1] — not the guidelines HHS published in January 2026 (household of 1: $15,960; household of 4: $33,000) [S2]. See discrepancy note below.</w:t>
            </w:r>
          </w:p>
        </w:tc>
      </w:tr>
      <w:tr>
        <w:tc>
          <w:tcPr>
            <w:tcW w:type="dxa" w:w="4500"/>
          </w:tcPr>
          <w:p>
            <w:r>
              <w:t xml:space="preserve">400%-of-FPL annual income threshold, single filer</w:t>
            </w:r>
          </w:p>
        </w:tc>
        <w:tc>
          <w:tcPr>
            <w:tcW w:type="dxa" w:w="4500"/>
          </w:tcPr>
          <w:p>
            <w:r>
              <w:rPr>
                <w:b/>
                <w:bCs/>
              </w:rPr>
              <w:t xml:space="preserve">$62,600</w:t>
            </w:r>
            <w:r>
              <w:t xml:space="preserve"> [S1]</w:t>
            </w:r>
          </w:p>
        </w:tc>
      </w:tr>
      <w:tr>
        <w:tc>
          <w:tcPr>
            <w:tcW w:type="dxa" w:w="4500"/>
          </w:tcPr>
          <w:p>
            <w:r>
              <w:t xml:space="preserve">400%-of-FPL annual income threshold, family of four</w:t>
            </w:r>
          </w:p>
        </w:tc>
        <w:tc>
          <w:tcPr>
            <w:tcW w:type="dxa" w:w="4500"/>
          </w:tcPr>
          <w:p>
            <w:r>
              <w:rPr>
                <w:b/>
                <w:bCs/>
              </w:rPr>
              <w:t xml:space="preserve">$128,600</w:t>
            </w:r>
            <w:r>
              <w:t xml:space="preserve"> [S1] — see discrepancy note below</w:t>
            </w:r>
          </w:p>
        </w:tc>
      </w:tr>
    </w:tbl>
    <w:p/>
    <w:p>
      <w:r>
        <w:rPr>
          <w:b/>
          <w:bCs/>
        </w:rPr>
        <w:t xml:space="preserve">Resolving the published discrepancy ($128,600 vs. $132,600/$132,000).</w:t>
      </w:r>
      <w:r>
        <w:t xml:space="preserve"> Both figures are arithmetically correct — they are 400% of two different HHS poverty-guideline vintages, and secondary sources routinely conflate them. ACA subsidy eligibility for a given plan year uses the poverty guidelines HHS most recently published </w:t>
      </w:r>
      <w:r>
        <w:rPr>
          <w:i/>
          <w:iCs/>
        </w:rPr>
        <w:t xml:space="preserve">before that year's open enrollment begins</w:t>
      </w:r>
      <w:r>
        <w:t xml:space="preserve"> (November of the prior year); the guidelines for the coverage year itself are not published until the following January, after enrollment has already started. For 2026 coverage, that means the </w:t>
      </w:r>
      <w:r>
        <w:rPr>
          <w:b/>
          <w:bCs/>
        </w:rPr>
        <w:t xml:space="preserve">2025</w:t>
      </w:r>
      <w:r>
        <w:t xml:space="preserve"> guidelines govern — 400% of the 2025 family-of-four guideline ($32,150) is </w:t>
      </w:r>
      <w:r>
        <w:rPr>
          <w:b/>
          <w:bCs/>
        </w:rPr>
        <w:t xml:space="preserve">$128,600</w:t>
      </w:r>
      <w:r>
        <w:t xml:space="preserve"> [S1]. The $132,000 (rounded in some sources to $132,600) figure is 400% of the </w:t>
      </w:r>
      <w:r>
        <w:rPr>
          <w:b/>
          <w:bCs/>
        </w:rPr>
        <w:t xml:space="preserve">2026</w:t>
      </w:r>
      <w:r>
        <w:t xml:space="preserve"> guideline ($33,000) [S2] — the vintage that governs 2026-dated programs without a one-year lag (e.g., Medicaid/SNAP eligibility periods keyed to calendar year), but </w:t>
      </w:r>
      <w:r>
        <w:rPr>
          <w:i/>
          <w:iCs/>
        </w:rPr>
        <w:t xml:space="preserve">not</w:t>
      </w:r>
      <w:r>
        <w:t xml:space="preserve"> ACA marketplace subsidy determination for 2026 coverage. This case uses </w:t>
      </w:r>
      <w:r>
        <w:rPr>
          <w:b/>
          <w:bCs/>
        </w:rPr>
        <w:t xml:space="preserve">$128,600</w:t>
      </w:r>
      <w:r>
        <w:t xml:space="preserve"> throughout, as the one that actually governs Priya's threshold.</w:t>
      </w:r>
    </w:p>
    <w:p>
      <w:r>
        <w:t xml:space="preserve">Referenced from Background and forces the threshold value in Challenges D1–D4.</w:t>
      </w:r>
    </w:p>
    <w:p>
      <w:pPr>
        <w:pStyle w:val="Heading2"/>
        <w:spacing w:after="120" w:before="240"/>
      </w:pPr>
      <w:r>
        <w:t xml:space="preserve">Appendix B — Hold The Cliff: Household Net Insurance Cost Near the Threshold</w:t>
      </w:r>
    </w:p>
    <w:p>
      <w:r>
        <w:t xml:space="preserve">Real worked examples of what a household actually pays for marketplace insurance just below and just above the 400%-of-FPL threshold under the reinstated federal formula (no state-funded bridge).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Household 1 — annual income just below threshold, and its % of FPL</w:t>
            </w:r>
          </w:p>
        </w:tc>
        <w:tc>
          <w:tcPr>
            <w:tcW w:type="dxa" w:w="4500"/>
          </w:tcPr>
          <w:p>
            <w:r>
              <w:t xml:space="preserve">$62,000/year — 396% FPL [S3]</w:t>
            </w:r>
          </w:p>
        </w:tc>
      </w:tr>
      <w:tr>
        <w:tc>
          <w:tcPr>
            <w:tcW w:type="dxa" w:w="4500"/>
          </w:tcPr>
          <w:p>
            <w:r>
              <w:t xml:space="preserve">Household 1 — subsidized annual premium at that income</w:t>
            </w:r>
          </w:p>
        </w:tc>
        <w:tc>
          <w:tcPr>
            <w:tcW w:type="dxa" w:w="4500"/>
          </w:tcPr>
          <w:p>
            <w:r>
              <w:t xml:space="preserve">$6,175/year [S3]</w:t>
            </w:r>
          </w:p>
        </w:tc>
      </w:tr>
      <w:tr>
        <w:tc>
          <w:tcPr>
            <w:tcW w:type="dxa" w:w="4500"/>
          </w:tcPr>
          <w:p>
            <w:r>
              <w:t xml:space="preserve">Household 2 — annual income just above threshold, and its % of FPL</w:t>
            </w:r>
          </w:p>
        </w:tc>
        <w:tc>
          <w:tcPr>
            <w:tcW w:type="dxa" w:w="4500"/>
          </w:tcPr>
          <w:p>
            <w:r>
              <w:t xml:space="preserve">$64,000/year — 409% FPL [S3]</w:t>
            </w:r>
          </w:p>
        </w:tc>
      </w:tr>
      <w:tr>
        <w:tc>
          <w:tcPr>
            <w:tcW w:type="dxa" w:w="4500"/>
          </w:tcPr>
          <w:p>
            <w:r>
              <w:t xml:space="preserve">Household 2 — full unsubsidized annual premium at that income</w:t>
            </w:r>
          </w:p>
        </w:tc>
        <w:tc>
          <w:tcPr>
            <w:tcW w:type="dxa" w:w="4500"/>
          </w:tcPr>
          <w:p>
            <w:r>
              <w:t xml:space="preserve">$14,931/year [S3]</w:t>
            </w:r>
          </w:p>
        </w:tc>
      </w:tr>
      <w:tr>
        <w:tc>
          <w:tcPr>
            <w:tcW w:type="dxa" w:w="4500"/>
          </w:tcPr>
          <w:p>
            <w:r>
              <w:t xml:space="preserve">Second worked example — couple's annual income near 402% FPL</w:t>
            </w:r>
          </w:p>
        </w:tc>
        <w:tc>
          <w:tcPr>
            <w:tcW w:type="dxa" w:w="4500"/>
          </w:tcPr>
          <w:p>
            <w:r>
              <w:t xml:space="preserve">$85,000/year (combined) [S4]</w:t>
            </w:r>
          </w:p>
        </w:tc>
      </w:tr>
      <w:tr>
        <w:tc>
          <w:tcPr>
            <w:tcW w:type="dxa" w:w="4500"/>
          </w:tcPr>
          <w:p>
            <w:r>
              <w:t xml:space="preserve">Second worked example — that couple's annual premium without the enhanced formula</w:t>
            </w:r>
          </w:p>
        </w:tc>
        <w:tc>
          <w:tcPr>
            <w:tcW w:type="dxa" w:w="4500"/>
          </w:tcPr>
          <w:p>
            <w:r>
              <w:t xml:space="preserve">≈$21,250/year (derived: KFF characterizes this as "approximately 25% of income" for this couple once the enhanced formula expires — an approximate, percentage-based figure, not an exact quoted premium; see Appendix F note) [S4]</w:t>
            </w:r>
          </w:p>
        </w:tc>
      </w:tr>
    </w:tbl>
    <w:p/>
    <w:p>
      <w:r>
        <w:t xml:space="preserve">Referenced from Background and forces the D1 piecewise cost function and one-sided-limit values for Hold The Cliff. </w:t>
      </w:r>
      <w:r>
        <w:rPr>
          <w:b/>
          <w:bCs/>
        </w:rPr>
        <w:t xml:space="preserve">Household 1/2 (the $62,000/$64,000 pair) is the load-bearing example for D1's limit computation — it is the only pair in this appendix backed by an exact quoted dollar premium at each side of the threshold.</w:t>
      </w:r>
      <w:r>
        <w:t xml:space="preserve"> The couple's second example is supplementary context; its premium figure is a derived approximation (see Modeling Assumptions) and should not be treated as more precise than Household 1/2's figures.</w:t>
      </w:r>
    </w:p>
    <w:p>
      <w:pPr>
        <w:pStyle w:val="Heading2"/>
        <w:spacing w:after="120" w:before="240"/>
      </w:pPr>
      <w:r>
        <w:t xml:space="preserve">Appendix C — Build The Bridge: The Continuous Premium-Cap Formula</w:t>
      </w:r>
    </w:p>
    <w:p>
      <w:r>
        <w:t xml:space="preserve">The 2021–2025 federal enhancement — the model Build The Bridge extends past 400% of FPL — capped a household's premium at a fixed percentage of income rather than cutting the subsidy to zero at a threshold.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Income-scaled premium cap under the 2021–2025 enhanced formula, as a percentage of household income</w:t>
            </w:r>
          </w:p>
        </w:tc>
        <w:tc>
          <w:tcPr>
            <w:tcW w:type="dxa" w:w="4500"/>
          </w:tcPr>
          <w:p>
            <w:r>
              <w:rPr>
                <w:b/>
                <w:bCs/>
              </w:rPr>
              <w:t xml:space="preserve">8.5%</w:t>
            </w:r>
            <w:r>
              <w:t xml:space="preserve"> of household income, at the top of the sliding scale (this cap applied at all incomes above roughly 200% FPL, and — uniquely under the ARP/IRA enhancement — kept applying with no upper income cutoff) [S5]</w:t>
            </w:r>
          </w:p>
        </w:tc>
      </w:tr>
      <w:tr>
        <w:tc>
          <w:tcPr>
            <w:tcW w:type="dxa" w:w="4500"/>
          </w:tcPr>
          <w:p>
            <w:r>
              <w:t xml:space="preserve">Benchmark annual premium used to apply that cap for the Appendix B worked-example household(s)</w:t>
            </w:r>
          </w:p>
        </w:tc>
        <w:tc>
          <w:tcPr>
            <w:tcW w:type="dxa" w:w="4500"/>
          </w:tcPr>
          <w:p>
            <w:r>
              <w:rPr>
                <w:b/>
                <w:bCs/>
              </w:rPr>
              <w:t xml:space="preserve">$14,931/year</w:t>
            </w:r>
            <w:r>
              <w:t xml:space="preserve"> — this is the same figure as Household 2's full unsubsidized premium in Appendix B [S3], because at 409% FPL with zero subsidy a household's full cost </w:t>
            </w:r>
            <w:r>
              <w:rPr>
                <w:i/>
                <w:iCs/>
              </w:rPr>
              <w:t xml:space="preserve">is</w:t>
            </w:r>
            <w:r>
              <w:t xml:space="preserve"> the benchmark (second-lowest-cost silver) plan's premium by definition</w:t>
            </w:r>
          </w:p>
        </w:tc>
      </w:tr>
    </w:tbl>
    <w:p/>
    <w:p>
      <w:r>
        <w:t xml:space="preserve">Referenced from Background and forces the D3 piecewise cost function and one-sided-limit values for Build The Bridge.</w:t>
      </w:r>
    </w:p>
    <w:p>
      <w:pPr>
        <w:pStyle w:val="Heading2"/>
        <w:spacing w:after="120" w:before="240"/>
      </w:pPr>
      <w:r>
        <w:t xml:space="preserve">Appendix D — The Cost of Closing the Gap</w:t>
      </w:r>
    </w:p>
    <w:p>
      <w:r>
        <w:t xml:space="preserve">Real data on what removing this exact discontinuity has been scored to cost at the federal level, and what individual states already spend funding their own (lower-income-band) wraparound subsidies.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CBO-scored 10-year federal cost of permanently restoring the continuous, no-cutoff subsidy formula nationwide</w:t>
            </w:r>
          </w:p>
        </w:tc>
        <w:tc>
          <w:tcPr>
            <w:tcW w:type="dxa" w:w="4500"/>
          </w:tcPr>
          <w:p>
            <w:r>
              <w:rPr>
                <w:b/>
                <w:bCs/>
              </w:rPr>
              <w:t xml:space="preserve">≈$350 billion</w:t>
            </w:r>
            <w:r>
              <w:t xml:space="preserve">, FY2026–FY2035 [S6]</w:t>
            </w:r>
          </w:p>
        </w:tc>
      </w:tr>
      <w:tr>
        <w:tc>
          <w:tcPr>
            <w:tcW w:type="dxa" w:w="4500"/>
          </w:tcPr>
          <w:p>
            <w:r>
              <w:t xml:space="preserve">Number of states currently funding their own wraparound marketplace subsidies (any income band)</w:t>
            </w:r>
          </w:p>
        </w:tc>
        <w:tc>
          <w:tcPr>
            <w:tcW w:type="dxa" w:w="4500"/>
          </w:tcPr>
          <w:p>
            <w:r>
              <w:rPr>
                <w:b/>
                <w:bCs/>
              </w:rPr>
              <w:t xml:space="preserve">10 states</w:t>
            </w:r>
            <w:r>
              <w:t xml:space="preserve"> as of September 2025 — California, Colorado, Connecticut, Maryland, Massachusetts, New Jersey, New Mexico, New York, Vermont, Washington [S7]. A later count (January 2026, after the federal enhancement expired) puts it at </w:t>
            </w:r>
            <w:r>
              <w:rPr>
                <w:b/>
                <w:bCs/>
              </w:rPr>
              <w:t xml:space="preserve">11</w:t>
            </w:r>
            <w:r>
              <w:t xml:space="preserve">, adding Oregon [S8] — reported here as a range rather than picking one, since the two counts are simply from different dates as states responded to the expiration.</w:t>
            </w:r>
          </w:p>
        </w:tc>
      </w:tr>
      <w:tr>
        <w:tc>
          <w:tcPr>
            <w:tcW w:type="dxa" w:w="4500"/>
          </w:tcPr>
          <w:p>
            <w:r>
              <w:t xml:space="preserve">New Mexico's state program cost to replace the lost federal enhancement for households under 400% FPL</w:t>
            </w:r>
          </w:p>
        </w:tc>
        <w:tc>
          <w:tcPr>
            <w:tcW w:type="dxa" w:w="4500"/>
          </w:tcPr>
          <w:p>
            <w:r>
              <w:rPr>
                <w:b/>
                <w:bCs/>
              </w:rPr>
              <w:t xml:space="preserve">≈$38.8 million</w:t>
            </w:r>
            <w:r>
              <w:t xml:space="preserve"> — $21.5M appropriated in the state's regular January 2025 legislative session plus $17.3M in an October 2025 special session, covering premium/cost-sharing relief through June 30, 2026 for BeWell (NM's exchange) enrollees up to 400% FPL [S9] [S10]</w:t>
            </w:r>
          </w:p>
        </w:tc>
      </w:tr>
      <w:tr>
        <w:tc>
          <w:tcPr>
            <w:tcW w:type="dxa" w:w="4500"/>
          </w:tcPr>
          <w:p>
            <w:r>
              <w:t xml:space="preserve">Massachusetts's added state funding to its wraparound subsidy program</w:t>
            </w:r>
          </w:p>
        </w:tc>
        <w:tc>
          <w:tcPr>
            <w:tcW w:type="dxa" w:w="4500"/>
          </w:tcPr>
          <w:p>
            <w:r>
              <w:rPr>
                <w:b/>
                <w:bCs/>
              </w:rPr>
              <w:t xml:space="preserve">$250 million</w:t>
            </w:r>
            <w:r>
              <w:t xml:space="preserve"> in added state funding, announced January 8, 2026, bringing total ConnectorCare funding to $600 million for plan year 2026 [S11]</w:t>
            </w:r>
          </w:p>
        </w:tc>
      </w:tr>
      <w:tr>
        <w:tc>
          <w:tcPr>
            <w:tcW w:type="dxa" w:w="4500"/>
          </w:tcPr>
          <w:p>
            <w:r>
              <w:t xml:space="preserve">California's state marketplace subsidy program cost, current and following year</w:t>
            </w:r>
          </w:p>
        </w:tc>
        <w:tc>
          <w:tcPr>
            <w:tcW w:type="dxa" w:w="4500"/>
          </w:tcPr>
          <w:p>
            <w:r>
              <w:rPr>
                <w:b/>
                <w:bCs/>
              </w:rPr>
              <w:t xml:space="preserve">$190 million</w:t>
            </w:r>
            <w:r>
              <w:t xml:space="preserve"> for plan year 2026 (covering enrollees up to 165% FPL) [S12], rising to </w:t>
            </w:r>
            <w:r>
              <w:rPr>
                <w:b/>
                <w:bCs/>
              </w:rPr>
              <w:t xml:space="preserve">$300 million</w:t>
            </w:r>
            <w:r>
              <w:t xml:space="preserve"> for plan year 2027 (expanding coverage up to 200% FPL), finalized in California's signed FY2026–27 state budget in late June 2026 [S13]</w:t>
            </w:r>
          </w:p>
        </w:tc>
      </w:tr>
      <w:tr>
        <w:tc>
          <w:tcPr>
            <w:tcW w:type="dxa" w:w="4500"/>
          </w:tcPr>
          <w:p>
            <w:r>
              <w:t xml:space="preserve">Share of subsidized marketplace plan selections nationally that were above 400% FPL</w:t>
            </w:r>
          </w:p>
        </w:tc>
        <w:tc>
          <w:tcPr>
            <w:tcW w:type="dxa" w:w="4500"/>
          </w:tcPr>
          <w:p>
            <w:r>
              <w:rPr>
                <w:b/>
                <w:bCs/>
              </w:rPr>
              <w:t xml:space="preserve">5%</w:t>
            </w:r>
            <w:r>
              <w:t xml:space="preserve"> of APTC-eligible enrollees had household income over 400% FPL, per CMS's 2025 QHP Premiums and Choice Report (describing PY2024 enrollment) [S14]. A narrower, more recent proxy specifically for the 400–500% FPL band — i.e., enrollees close enough to the line that a modest income change could cross it, rather than all enrollees above 400% FPL regardless of distance — was </w:t>
            </w:r>
            <w:r>
              <w:rPr>
                <w:b/>
                <w:bCs/>
              </w:rPr>
              <w:t xml:space="preserve">3%</w:t>
            </w:r>
            <w:r>
              <w:t xml:space="preserve"> of 2025 plan selections [S15].</w:t>
            </w:r>
          </w:p>
        </w:tc>
      </w:tr>
    </w:tbl>
    <w:p/>
    <w:p>
      <w:r>
        <w:t xml:space="preserve">Referenced from Background and forces the D4 cost side of the discontinuity-versus-cost comparison.</w:t>
      </w:r>
    </w:p>
    <w:p>
      <w:pPr>
        <w:pStyle w:val="Heading2"/>
        <w:spacing w:after="120" w:before="240"/>
      </w:pPr>
      <w:r>
        <w:t xml:space="preserve">Appendix E — Priya's State: Enrollment, Budget Line, and Deadline</w:t>
      </w:r>
    </w:p>
    <w:p>
      <w:r>
        <w:t xml:space="preserve">The constraints specific to Priya's own state exchange and this budget 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This state's total marketplace enrollment, most recent plan year</w:t>
            </w:r>
          </w:p>
        </w:tc>
        <w:tc>
          <w:tcPr>
            <w:tcW w:type="dxa" w:w="4500"/>
          </w:tcPr>
          <w:p>
            <w:r>
              <w:rPr>
                <w:b/>
                <w:bCs/>
              </w:rPr>
              <w:t xml:space="preserve">480,000</w:t>
            </w:r>
            <w:r>
              <w:t xml:space="preserve"> (Modeling Assumption </w:t>
            </w:r>
            <w:r>
              <w:rPr>
                <w:b/>
                <w:bCs/>
              </w:rPr>
              <w:t xml:space="preserve">MA1</w:t>
            </w:r>
            <w:r>
              <w:t xml:space="preserve"> — see below)</w:t>
            </w:r>
          </w:p>
        </w:tc>
      </w:tr>
      <w:tr>
        <w:tc>
          <w:tcPr>
            <w:tcW w:type="dxa" w:w="4500"/>
          </w:tcPr>
          <w:p>
            <w:r>
              <w:t xml:space="preserve">Estimated number/share of this state's enrollees within reach of the 400%-FPL threshold (near enough that a modest income change crosses it)</w:t>
            </w:r>
          </w:p>
        </w:tc>
        <w:tc>
          <w:tcPr>
            <w:tcW w:type="dxa" w:w="4500"/>
          </w:tcPr>
          <w:p>
            <w:r>
              <w:rPr>
                <w:b/>
                <w:bCs/>
              </w:rPr>
              <w:t xml:space="preserve">≈14,400 households (3%)</w:t>
            </w:r>
            <w:r>
              <w:t xml:space="preserve"> (Modeling Assumption </w:t>
            </w:r>
            <w:r>
              <w:rPr>
                <w:b/>
                <w:bCs/>
              </w:rPr>
              <w:t xml:space="preserve">MA2</w:t>
            </w:r>
            <w:r>
              <w:t xml:space="preserve"> — see below)</w:t>
            </w:r>
          </w:p>
        </w:tc>
      </w:tr>
      <w:tr>
        <w:tc>
          <w:tcPr>
            <w:tcW w:type="dxa" w:w="4500"/>
          </w:tcPr>
          <w:p>
            <w:r>
              <w:t xml:space="preserve">Discretionary budget line item available to Priya's office this cycle</w:t>
            </w:r>
          </w:p>
        </w:tc>
        <w:tc>
          <w:tcPr>
            <w:tcW w:type="dxa" w:w="4500"/>
          </w:tcPr>
          <w:p>
            <w:r>
              <w:rPr>
                <w:b/>
                <w:bCs/>
              </w:rPr>
              <w:t xml:space="preserve">$8,000,000</w:t>
            </w:r>
            <w:r>
              <w:t xml:space="preserve">, one-time (Modeling Assumption </w:t>
            </w:r>
            <w:r>
              <w:rPr>
                <w:b/>
                <w:bCs/>
              </w:rPr>
              <w:t xml:space="preserve">MA3</w:t>
            </w:r>
            <w:r>
              <w:t xml:space="preserve"> — see below)</w:t>
            </w:r>
          </w:p>
        </w:tc>
      </w:tr>
      <w:tr>
        <w:tc>
          <w:tcPr>
            <w:tcW w:type="dxa" w:w="4500"/>
          </w:tcPr>
          <w:p>
            <w:r>
              <w:t xml:space="preserve">Days remaining until the legislature's budget markup locks the line item</w:t>
            </w:r>
          </w:p>
        </w:tc>
        <w:tc>
          <w:tcPr>
            <w:tcW w:type="dxa" w:w="4500"/>
          </w:tcPr>
          <w:p>
            <w:r>
              <w:rPr>
                <w:b/>
                <w:bCs/>
              </w:rPr>
              <w:t xml:space="preserve">21 days</w:t>
            </w:r>
            <w:r>
              <w:t xml:space="preserve"> (Modeling Assumption </w:t>
            </w:r>
            <w:r>
              <w:rPr>
                <w:b/>
                <w:bCs/>
              </w:rPr>
              <w:t xml:space="preserve">MA4</w:t>
            </w:r>
            <w:r>
              <w:t xml:space="preserve"> — see below)</w:t>
            </w:r>
          </w:p>
        </w:tc>
      </w:tr>
    </w:tbl>
    <w:p/>
    <w:p>
      <w:r>
        <w:t xml:space="preserve">Referenced from Background and Challenges D4 and D5. None of Priya's state's own figures are publicly sourceable — Priya's state and exchange are not a real, named state for this case, by design (see Background) — so all four rows are stated, disclosed Modeling Assumptions rather than sourced figures. See the </w:t>
      </w:r>
      <w:r>
        <w:rPr>
          <w:b/>
          <w:bCs/>
        </w:rPr>
        <w:t xml:space="preserve">Modeling Assumptions</w:t>
      </w:r>
      <w:r>
        <w:t xml:space="preserve"> block below for the basis and sensitivity of each.</w:t>
      </w:r>
    </w:p>
    <w:p>
      <w:pPr>
        <w:pStyle w:val="Heading2"/>
        <w:spacing w:after="120" w:before="240"/>
      </w:pPr>
      <w:r>
        <w:t xml:space="preserve">Appendix F — "How To…" Math Questions To Research</w:t>
      </w:r>
    </w:p>
    <w:p>
      <w:r>
        <w:rPr>
          <w:b/>
          <w:bCs/>
        </w:rPr>
        <w:t xml:space="preserve">Vocabulary terms</w:t>
      </w:r>
    </w:p>
    <w:p>
      <w:pPr>
        <w:ind w:left="360"/>
      </w:pPr>
      <w:r>
        <w:t xml:space="preserve">- Limit</w:t>
      </w:r>
    </w:p>
    <w:p>
      <w:pPr>
        <w:ind w:left="360"/>
      </w:pPr>
      <w:r>
        <w:t xml:space="preserve">- One-Sided Limit</w:t>
      </w:r>
    </w:p>
    <w:p>
      <w:pPr>
        <w:ind w:left="360"/>
      </w:pPr>
      <w:r>
        <w:t xml:space="preserve">- Continuity</w:t>
      </w:r>
    </w:p>
    <w:p>
      <w:pPr>
        <w:ind w:left="360"/>
      </w:pPr>
      <w:r>
        <w:t xml:space="preserve">- Discontinuity</w:t>
      </w:r>
    </w:p>
    <w:p>
      <w:pPr>
        <w:ind w:left="360"/>
      </w:pPr>
      <w:r>
        <w:t xml:space="preserve">- Percent</w:t>
      </w:r>
    </w:p>
    <w:p>
      <w:r>
        <w:rPr>
          <w:b/>
          <w:bCs/>
        </w:rPr>
        <w:t xml:space="preserve">"How to…" questions</w:t>
      </w:r>
    </w:p>
    <w:p>
      <w:pPr>
        <w:ind w:left="360"/>
      </w:pPr>
      <w:r>
        <w:t xml:space="preserve">- How to evaluate a limit algebraically</w:t>
      </w:r>
    </w:p>
    <w:p>
      <w:pPr>
        <w:ind w:left="360"/>
      </w:pPr>
      <w:r>
        <w:t xml:space="preserve">- How to determine whether a function is continuous at a point</w:t>
      </w:r>
    </w:p>
    <w:p>
      <w:pPr>
        <w:ind w:left="360"/>
      </w:pPr>
      <w:r>
        <w:t xml:space="preserve">- How to find the percent of a number</w:t>
      </w:r>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because Priya's state and exchange are illustrative, not a real named state — but each is grounded in a real, cited anchor rather than picked out of the air. A Hero may challenge them in discussion — that is a legitimate move, and D5's recommendation memo should say which of these assumptions it depends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This state's total marketplace enrollment</w:t>
            </w:r>
          </w:p>
        </w:tc>
        <w:tc>
          <w:tcPr>
            <w:tcW w:type="dxa" w:w="1800"/>
          </w:tcPr>
          <w:p>
            <w:r>
              <w:t xml:space="preserve">480,000</w:t>
            </w:r>
          </w:p>
        </w:tc>
        <w:tc>
          <w:tcPr>
            <w:tcW w:type="dxa" w:w="1800"/>
          </w:tcPr>
          <w:p>
            <w:r>
              <w:t xml:space="preserve">Scaled to the rough size of a real, comparably-sized state-based marketplace: Pennsylvania's Pennie reported approximately 486,000 total enrollees at the close of its 2026 open enrollment period [S16]. Priya's state is deliberately not identified with any real state, so this is a plausibility anchor, not a claim about a specific place.</w:t>
            </w:r>
          </w:p>
        </w:tc>
        <w:tc>
          <w:tcPr>
            <w:tcW w:type="dxa" w:w="1800"/>
          </w:tcPr>
          <w:p>
            <w:r>
              <w:t xml:space="preserve">This figure is a </w:t>
            </w:r>
            <w:r>
              <w:rPr>
                <w:b/>
                <w:bCs/>
              </w:rPr>
              <w:t xml:space="preserve">pure scale factor</w:t>
            </w:r>
            <w:r>
              <w:t xml:space="preserve"> — it multiplies both the harm side and the cost side of D4 by the same amount, so it does not change which option D4/D5 favors, only the total dollar size of both numbers. A much smaller or larger state changes the headline totals but not the underlying per-household comparison.</w:t>
            </w:r>
          </w:p>
        </w:tc>
      </w:tr>
      <w:tr>
        <w:tc>
          <w:tcPr>
            <w:tcW w:type="dxa" w:w="1800"/>
          </w:tcPr>
          <w:p>
            <w:r>
              <w:t xml:space="preserve">MA2</w:t>
            </w:r>
          </w:p>
        </w:tc>
        <w:tc>
          <w:tcPr>
            <w:tcW w:type="dxa" w:w="1800"/>
          </w:tcPr>
          <w:p>
            <w:r>
              <w:t xml:space="preserve">Share of enrollees within reach of the 400%-FPL threshold</w:t>
            </w:r>
          </w:p>
        </w:tc>
        <w:tc>
          <w:tcPr>
            <w:tcW w:type="dxa" w:w="1800"/>
          </w:tcPr>
          <w:p>
            <w:r>
              <w:t xml:space="preserve">3% (≈14,400 households)</w:t>
            </w:r>
          </w:p>
        </w:tc>
        <w:tc>
          <w:tcPr>
            <w:tcW w:type="dxa" w:w="1800"/>
          </w:tcPr>
          <w:p>
            <w:r>
              <w:t xml:space="preserve">Uses the national 400–500% FPL band share [S15] as the nearest published proxy for "close enough to the threshold that a modest income change crosses it." No dataset publishes a narrower band (e.g., ±$2,000 of the exact line).</w:t>
            </w:r>
          </w:p>
        </w:tc>
        <w:tc>
          <w:tcPr>
            <w:tcW w:type="dxa" w:w="1800"/>
          </w:tcPr>
          <w:p>
            <w:r>
              <w:t xml:space="preserve">This is the least-defensible figure in the case: the true "close enough to cross" population is almost certainly a fraction of this 3% band, since most of that band is not within a few thousand dollars of 400%. If the true figure were, say, 1/3 of this estimate, the </w:t>
            </w:r>
            <w:r>
              <w:rPr>
                <w:i/>
                <w:iCs/>
              </w:rPr>
              <w:t xml:space="preserve">total</w:t>
            </w:r>
            <w:r>
              <w:t xml:space="preserve"> dollar harm and the </w:t>
            </w:r>
            <w:r>
              <w:rPr>
                <w:i/>
                <w:iCs/>
              </w:rPr>
              <w:t xml:space="preserve">total</w:t>
            </w:r>
            <w:r>
              <w:t xml:space="preserve"> Build The Bridge cost in D4 would both shrink proportionally — but because this factor multiplies both the harm total and the cost total by the same amount, it cancels out of the per-household margin D4/D5 actually turn on, so it does not by itself flip the recommendation.</w:t>
            </w:r>
          </w:p>
        </w:tc>
      </w:tr>
      <w:tr>
        <w:tc>
          <w:tcPr>
            <w:tcW w:type="dxa" w:w="1800"/>
          </w:tcPr>
          <w:p>
            <w:r>
              <w:t xml:space="preserve">MA3</w:t>
            </w:r>
          </w:p>
        </w:tc>
        <w:tc>
          <w:tcPr>
            <w:tcW w:type="dxa" w:w="1800"/>
          </w:tcPr>
          <w:p>
            <w:r>
              <w:t xml:space="preserve">Discretionary budget line item available this cycle</w:t>
            </w:r>
          </w:p>
        </w:tc>
        <w:tc>
          <w:tcPr>
            <w:tcW w:type="dxa" w:w="1800"/>
          </w:tcPr>
          <w:p>
            <w:r>
              <w:t xml:space="preserve">$8,000,000, one-time</w:t>
            </w:r>
          </w:p>
        </w:tc>
        <w:tc>
          <w:tcPr>
            <w:tcW w:type="dxa" w:w="1800"/>
          </w:tcPr>
          <w:p>
            <w:r>
              <w:t xml:space="preserve">Set well below any of Appendix D's real per-state wraparound program costs (New Mexico ≈$38.8M, Massachusetts $250M, California $190M→$300M) [S9]–[S13], since Background specifies this is a one-time discretionary item, not an ongoing appropriation like those real programs.</w:t>
            </w:r>
          </w:p>
        </w:tc>
        <w:tc>
          <w:tcPr>
            <w:tcW w:type="dxa" w:w="1800"/>
          </w:tcPr>
          <w:p>
            <w:r>
              <w:t xml:space="preserve">This is the sharpest lever in the case. If this line item were large enough to cover Build The Bridge's real annual state cost outright, the budget-feasibility objection to Option B disappears and the decision reduces to the pure harm-vs-cost comparison in D4. At $8,000,000 one-time, it covers only a small fraction of a state-scale wraparound program's real annual cost — meaning even a strong D4 case for B's cost-effectiveness collides with a hard funding-mechanism problem: an ongoing subsidy cannot be paid for by a one-time line item, only started by one.</w:t>
            </w:r>
          </w:p>
        </w:tc>
      </w:tr>
      <w:tr>
        <w:tc>
          <w:tcPr>
            <w:tcW w:type="dxa" w:w="1800"/>
          </w:tcPr>
          <w:p>
            <w:r>
              <w:t xml:space="preserve">MA4</w:t>
            </w:r>
          </w:p>
        </w:tc>
        <w:tc>
          <w:tcPr>
            <w:tcW w:type="dxa" w:w="1800"/>
          </w:tcPr>
          <w:p>
            <w:r>
              <w:t xml:space="preserve">Days remaining until budget markup</w:t>
            </w:r>
          </w:p>
        </w:tc>
        <w:tc>
          <w:tcPr>
            <w:tcW w:type="dxa" w:w="1800"/>
          </w:tcPr>
          <w:p>
            <w:r>
              <w:t xml:space="preserve">21</w:t>
            </w:r>
          </w:p>
        </w:tc>
        <w:tc>
          <w:tcPr>
            <w:tcW w:type="dxa" w:w="1800"/>
          </w:tcPr>
          <w:p>
            <w:r>
              <w:t xml:space="preserve">Illustrative only — sets the narrative urgency described in the Overview; not derived from any real legislative calendar.</w:t>
            </w:r>
          </w:p>
        </w:tc>
        <w:tc>
          <w:tcPr>
            <w:tcW w:type="dxa" w:w="1800"/>
          </w:tcPr>
          <w:p>
            <w:r>
              <w:t xml:space="preserve">Does not affect the D1–D4 math at all. It bears only on D5: a shorter number tightens the practical argument for A (Hold The Cliff) as the option that requires no new administrative process before the deadline; a much longer number would weaken that specific argument for A without changing the underlying dollar comparison.</w:t>
            </w:r>
          </w:p>
        </w:tc>
      </w:tr>
    </w:tbl>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2025 HHS poverty guidelines, household of 1 and 4, and their 400% multiples</w:t>
            </w:r>
          </w:p>
        </w:tc>
        <w:tc>
          <w:tcPr>
            <w:tcW w:type="dxa" w:w="1500"/>
          </w:tcPr>
          <w:p>
            <w:r>
              <w:t xml:space="preserve">$15,650 / $32,150 (100%); $62,600 / $128,600 (400%)</w:t>
            </w:r>
          </w:p>
        </w:tc>
        <w:tc>
          <w:tcPr>
            <w:tcW w:type="dxa" w:w="1500"/>
          </w:tcPr>
          <w:p>
            <w:r>
              <w:t xml:space="preserve">U.S. Dept. of Health and Human Services, ASPE — </w:t>
            </w:r>
            <w:hyperlink w:history="1" r:id="rIdznzsdkjx5pzbiavtfzmtb">
              <w:r>
                <w:rPr>
                  <w:rStyle w:val="Hyperlink"/>
                </w:rPr>
                <w:t xml:space="preserve">2025 Poverty Guidelines: 48 Contiguous States</w:t>
              </w:r>
            </w:hyperlink>
            <w:r>
              <w:t xml:space="preserve"> (published following the Jan. 17, 2025 Federal Register notice)</w:t>
            </w:r>
          </w:p>
        </w:tc>
        <w:tc>
          <w:tcPr>
            <w:tcW w:type="dxa" w:w="1500"/>
          </w:tcPr>
          <w:p>
            <w:r>
              <w:t xml:space="preserve">2025-01</w:t>
            </w:r>
          </w:p>
        </w:tc>
        <w:tc>
          <w:tcPr>
            <w:tcW w:type="dxa" w:w="1500"/>
          </w:tcPr>
          <w:p>
            <w:r>
              <w:t xml:space="preserve">HIGH</w:t>
            </w:r>
          </w:p>
        </w:tc>
      </w:tr>
      <w:tr>
        <w:tc>
          <w:tcPr>
            <w:tcW w:type="dxa" w:w="1500"/>
          </w:tcPr>
          <w:p>
            <w:r>
              <w:t xml:space="preserve">S2</w:t>
            </w:r>
          </w:p>
        </w:tc>
        <w:tc>
          <w:tcPr>
            <w:tcW w:type="dxa" w:w="1500"/>
          </w:tcPr>
          <w:p>
            <w:r>
              <w:t xml:space="preserve">2026 HHS poverty guidelines, household of 4, and its 400% multiple</w:t>
            </w:r>
          </w:p>
        </w:tc>
        <w:tc>
          <w:tcPr>
            <w:tcW w:type="dxa" w:w="1500"/>
          </w:tcPr>
          <w:p>
            <w:r>
              <w:t xml:space="preserve">$33,000 (100%); $132,000 (400%)</w:t>
            </w:r>
          </w:p>
        </w:tc>
        <w:tc>
          <w:tcPr>
            <w:tcW w:type="dxa" w:w="1500"/>
          </w:tcPr>
          <w:p>
            <w:r>
              <w:t xml:space="preserve">U.S. Dept. of Health and Human Services, ASPE — </w:t>
            </w:r>
            <w:hyperlink w:history="1" r:id="rIdhn0zcuu9eb_l5kbp0v0xy">
              <w:r>
                <w:rPr>
                  <w:rStyle w:val="Hyperlink"/>
                </w:rPr>
                <w:t xml:space="preserve">2026 Poverty Guidelines: 48 Contiguous States</w:t>
              </w:r>
            </w:hyperlink>
            <w:r>
              <w:t xml:space="preserve"> (published following the Jan. 15, 2026 Federal Register notice)</w:t>
            </w:r>
          </w:p>
        </w:tc>
        <w:tc>
          <w:tcPr>
            <w:tcW w:type="dxa" w:w="1500"/>
          </w:tcPr>
          <w:p>
            <w:r>
              <w:t xml:space="preserve">2026-01</w:t>
            </w:r>
          </w:p>
        </w:tc>
        <w:tc>
          <w:tcPr>
            <w:tcW w:type="dxa" w:w="1500"/>
          </w:tcPr>
          <w:p>
            <w:r>
              <w:t xml:space="preserve">HIGH</w:t>
            </w:r>
          </w:p>
        </w:tc>
      </w:tr>
      <w:tr>
        <w:tc>
          <w:tcPr>
            <w:tcW w:type="dxa" w:w="1500"/>
          </w:tcPr>
          <w:p>
            <w:r>
              <w:t xml:space="preserve">S3</w:t>
            </w:r>
          </w:p>
        </w:tc>
        <w:tc>
          <w:tcPr>
            <w:tcW w:type="dxa" w:w="1500"/>
          </w:tcPr>
          <w:p>
            <w:r>
              <w:t xml:space="preserve">KFF worked example: 60-year-old enrollee, $62,000 (396% FPL) subsidized premium vs. $64,000 (409% FPL) unsubsidized premium</w:t>
            </w:r>
          </w:p>
        </w:tc>
        <w:tc>
          <w:tcPr>
            <w:tcW w:type="dxa" w:w="1500"/>
          </w:tcPr>
          <w:p>
            <w:r>
              <w:t xml:space="preserve">$6,175/yr vs. $14,931/yr</w:t>
            </w:r>
          </w:p>
        </w:tc>
        <w:tc>
          <w:tcPr>
            <w:tcW w:type="dxa" w:w="1500"/>
          </w:tcPr>
          <w:p>
            <w:r>
              <w:t xml:space="preserve">KFF Quick Takes — </w:t>
            </w:r>
            <w:hyperlink w:history="1" r:id="rIdgs9wvprvrj3ejfioewnou">
              <w:r>
                <w:rPr>
                  <w:rStyle w:val="Hyperlink"/>
                </w:rPr>
                <w:t xml:space="preserve">A Steep Subsidy Cliff Looms for Older Middle-Income Enrollees if ACA Enhanced Tax Credits Expire</w:t>
              </w:r>
            </w:hyperlink>
          </w:p>
        </w:tc>
        <w:tc>
          <w:tcPr>
            <w:tcW w:type="dxa" w:w="1500"/>
          </w:tcPr>
          <w:p>
            <w:r>
              <w:t xml:space="preserve">2025-10-08</w:t>
            </w:r>
          </w:p>
        </w:tc>
        <w:tc>
          <w:tcPr>
            <w:tcW w:type="dxa" w:w="1500"/>
          </w:tcPr>
          <w:p>
            <w:r>
              <w:t xml:space="preserve">HIGH</w:t>
            </w:r>
          </w:p>
        </w:tc>
      </w:tr>
      <w:tr>
        <w:tc>
          <w:tcPr>
            <w:tcW w:type="dxa" w:w="1500"/>
          </w:tcPr>
          <w:p>
            <w:r>
              <w:t xml:space="preserve">S4</w:t>
            </w:r>
          </w:p>
        </w:tc>
        <w:tc>
          <w:tcPr>
            <w:tcW w:type="dxa" w:w="1500"/>
          </w:tcPr>
          <w:p>
            <w:r>
              <w:t xml:space="preserve">KFF example: 60-year-old couple, $85,000 combined income (402% FPL), premium rise once enhanced credits expire</w:t>
            </w:r>
          </w:p>
        </w:tc>
        <w:tc>
          <w:tcPr>
            <w:tcW w:type="dxa" w:w="1500"/>
          </w:tcPr>
          <w:p>
            <w:r>
              <w:t xml:space="preserve">rise of "over $22,600"; ≈25% of income post-expiration (derived ≈$21,250/yr)</w:t>
            </w:r>
          </w:p>
        </w:tc>
        <w:tc>
          <w:tcPr>
            <w:tcW w:type="dxa" w:w="1500"/>
          </w:tcPr>
          <w:p>
            <w:r>
              <w:t xml:space="preserve">KFF — </w:t>
            </w:r>
            <w:hyperlink w:history="1" r:id="rIdwcsxfvexzd-emcrdvzffo">
              <w:r>
                <w:rPr>
                  <w:rStyle w:val="Hyperlink"/>
                </w:rPr>
                <w:t xml:space="preserve">ACA Marketplace Premium Payments Would More than Double on Average Next Year if Enhanced Premium Tax Credits Expire</w:t>
              </w:r>
            </w:hyperlink>
          </w:p>
        </w:tc>
        <w:tc>
          <w:tcPr>
            <w:tcW w:type="dxa" w:w="1500"/>
          </w:tcPr>
          <w:p>
            <w:r>
              <w:t xml:space="preserve">2025-09-30</w:t>
            </w:r>
          </w:p>
        </w:tc>
        <w:tc>
          <w:tcPr>
            <w:tcW w:type="dxa" w:w="1500"/>
          </w:tcPr>
          <w:p>
            <w:r>
              <w:t xml:space="preserve">MEDIUM — the "$22,600 rise" and "≈25%" blend the subsidy-cliff effect with a separate ~18% 2026 premium-inflation effect; the derived $21,250 is an approximation, not an exact quoted premium. Not used as a load-bearing figure.</w:t>
            </w:r>
          </w:p>
        </w:tc>
      </w:tr>
      <w:tr>
        <w:tc>
          <w:tcPr>
            <w:tcW w:type="dxa" w:w="1500"/>
          </w:tcPr>
          <w:p>
            <w:r>
              <w:t xml:space="preserve">S5</w:t>
            </w:r>
          </w:p>
        </w:tc>
        <w:tc>
          <w:tcPr>
            <w:tcW w:type="dxa" w:w="1500"/>
          </w:tcPr>
          <w:p>
            <w:r>
              <w:t xml:space="preserve">ARP/IRA enhanced ACA premium tax credit affordability cap</w:t>
            </w:r>
          </w:p>
        </w:tc>
        <w:tc>
          <w:tcPr>
            <w:tcW w:type="dxa" w:w="1500"/>
          </w:tcPr>
          <w:p>
            <w:r>
              <w:t xml:space="preserve">8.5% of household income, no upper income cutoff</w:t>
            </w:r>
          </w:p>
        </w:tc>
        <w:tc>
          <w:tcPr>
            <w:tcW w:type="dxa" w:w="1500"/>
          </w:tcPr>
          <w:p>
            <w:r>
              <w:t xml:space="preserve">healthinsurance.org — </w:t>
            </w:r>
            <w:hyperlink w:history="1" r:id="rIdnmj5nzk8zhllxs8ei93vw">
              <w:r>
                <w:rPr>
                  <w:rStyle w:val="Hyperlink"/>
                </w:rPr>
                <w:t xml:space="preserve">How sunsetting ARP's subsidy enhancements is affecting ACA subsidy amounts</w:t>
              </w:r>
            </w:hyperlink>
            <w:r>
              <w:t xml:space="preserve">; corroborated by Congress.gov CRS Report R48290, </w:t>
            </w:r>
            <w:r>
              <w:rPr>
                <w:i/>
                <w:iCs/>
              </w:rPr>
              <w:t xml:space="preserve">Enhanced Premium Tax Credit and 2026 Exchange Premiums: FAQ</w:t>
            </w:r>
          </w:p>
        </w:tc>
        <w:tc>
          <w:tcPr>
            <w:tcW w:type="dxa" w:w="1500"/>
          </w:tcPr>
          <w:p>
            <w:r>
              <w:t xml:space="preserve">2025–2026</w:t>
            </w:r>
          </w:p>
        </w:tc>
        <w:tc>
          <w:tcPr>
            <w:tcW w:type="dxa" w:w="1500"/>
          </w:tcPr>
          <w:p>
            <w:r>
              <w:t xml:space="preserve">HIGH</w:t>
            </w:r>
          </w:p>
        </w:tc>
      </w:tr>
      <w:tr>
        <w:tc>
          <w:tcPr>
            <w:tcW w:type="dxa" w:w="1500"/>
          </w:tcPr>
          <w:p>
            <w:r>
              <w:t xml:space="preserve">S6</w:t>
            </w:r>
          </w:p>
        </w:tc>
        <w:tc>
          <w:tcPr>
            <w:tcW w:type="dxa" w:w="1500"/>
          </w:tcPr>
          <w:p>
            <w:r>
              <w:t xml:space="preserve">CBO cost estimate: permanent extension of enhanced ACA premium tax credit formula</w:t>
            </w:r>
          </w:p>
        </w:tc>
        <w:tc>
          <w:tcPr>
            <w:tcW w:type="dxa" w:w="1500"/>
          </w:tcPr>
          <w:p>
            <w:r>
              <w:t xml:space="preserve">≈$350 billion, FY2026–FY2035</w:t>
            </w:r>
          </w:p>
        </w:tc>
        <w:tc>
          <w:tcPr>
            <w:tcW w:type="dxa" w:w="1500"/>
          </w:tcPr>
          <w:p>
            <w:r>
              <w:t xml:space="preserve">American Health Law Association — </w:t>
            </w:r>
            <w:hyperlink w:history="1" r:id="rIdqwx4hjgjn_780bqqezntu">
              <w:r>
                <w:rPr>
                  <w:rStyle w:val="Hyperlink"/>
                </w:rPr>
                <w:t xml:space="preserve">CBO Pegs Cost of Extending ACA Premium Tax Credit at $350 Billion over Ten Years</w:t>
              </w:r>
            </w:hyperlink>
            <w:r>
              <w:t xml:space="preserve">, corroborated by Becker's Payer Issues and the House Budget Committee's summary of the same CBO/JCT estimate</w:t>
            </w:r>
          </w:p>
        </w:tc>
        <w:tc>
          <w:tcPr>
            <w:tcW w:type="dxa" w:w="1500"/>
          </w:tcPr>
          <w:p>
            <w:r>
              <w:t xml:space="preserve">2025</w:t>
            </w:r>
          </w:p>
        </w:tc>
        <w:tc>
          <w:tcPr>
            <w:tcW w:type="dxa" w:w="1500"/>
          </w:tcPr>
          <w:p>
            <w:r>
              <w:t xml:space="preserve">HIGH — CBO's own estimate as reported by multiple outlets citing the same score; the original CBO letter was not directly fetched, so this is graded on the strength of consistent, named-source republication rather than a direct primary fetch.</w:t>
            </w:r>
          </w:p>
        </w:tc>
      </w:tr>
      <w:tr>
        <w:tc>
          <w:tcPr>
            <w:tcW w:type="dxa" w:w="1500"/>
          </w:tcPr>
          <w:p>
            <w:r>
              <w:t xml:space="preserve">S7</w:t>
            </w:r>
          </w:p>
        </w:tc>
        <w:tc>
          <w:tcPr>
            <w:tcW w:type="dxa" w:w="1500"/>
          </w:tcPr>
          <w:p>
            <w:r>
              <w:t xml:space="preserve">Count and list of states funding their own marketplace subsidy wraparounds</w:t>
            </w:r>
          </w:p>
        </w:tc>
        <w:tc>
          <w:tcPr>
            <w:tcW w:type="dxa" w:w="1500"/>
          </w:tcPr>
          <w:p>
            <w:r>
              <w:t xml:space="preserve">10 states: CA, CO, CT, MD, MA, NJ, NM, NY, VT, WA</w:t>
            </w:r>
          </w:p>
        </w:tc>
        <w:tc>
          <w:tcPr>
            <w:tcW w:type="dxa" w:w="1500"/>
          </w:tcPr>
          <w:p>
            <w:r>
              <w:t xml:space="preserve">KFF FAQ — </w:t>
            </w:r>
            <w:hyperlink w:history="1" r:id="rId7vhk_ob_nw5mbiw0qfqpf">
              <w:r>
                <w:rPr>
                  <w:rStyle w:val="Hyperlink"/>
                </w:rPr>
                <w:t xml:space="preserve">Which states offer additional financial assistance for Marketplace plans?</w:t>
              </w:r>
            </w:hyperlink>
          </w:p>
        </w:tc>
        <w:tc>
          <w:tcPr>
            <w:tcW w:type="dxa" w:w="1500"/>
          </w:tcPr>
          <w:p>
            <w:r>
              <w:t xml:space="preserve">2025-09-29</w:t>
            </w:r>
          </w:p>
        </w:tc>
        <w:tc>
          <w:tcPr>
            <w:tcW w:type="dxa" w:w="1500"/>
          </w:tcPr>
          <w:p>
            <w:r>
              <w:t xml:space="preserve">HIGH</w:t>
            </w:r>
          </w:p>
        </w:tc>
      </w:tr>
      <w:tr>
        <w:tc>
          <w:tcPr>
            <w:tcW w:type="dxa" w:w="1500"/>
          </w:tcPr>
          <w:p>
            <w:r>
              <w:t xml:space="preserve">S8</w:t>
            </w:r>
          </w:p>
        </w:tc>
        <w:tc>
          <w:tcPr>
            <w:tcW w:type="dxa" w:w="1500"/>
          </w:tcPr>
          <w:p>
            <w:r>
              <w:t xml:space="preserve">Later count of states funding wraparounds, post-federal-expiration</w:t>
            </w:r>
          </w:p>
        </w:tc>
        <w:tc>
          <w:tcPr>
            <w:tcW w:type="dxa" w:w="1500"/>
          </w:tcPr>
          <w:p>
            <w:r>
              <w:t xml:space="preserve">11 states (adds Oregon)</w:t>
            </w:r>
          </w:p>
        </w:tc>
        <w:tc>
          <w:tcPr>
            <w:tcW w:type="dxa" w:w="1500"/>
          </w:tcPr>
          <w:p>
            <w:r>
              <w:t xml:space="preserve">KFF — </w:t>
            </w:r>
            <w:hyperlink w:history="1" r:id="rId_idqj14djjeatuaunibn-">
              <w:r>
                <w:rPr>
                  <w:rStyle w:val="Hyperlink"/>
                </w:rPr>
                <w:t xml:space="preserve">State-Based Efforts Will Provide Limited Relief from Enhanced Tax Credit Expiration</w:t>
              </w:r>
            </w:hyperlink>
          </w:p>
        </w:tc>
        <w:tc>
          <w:tcPr>
            <w:tcW w:type="dxa" w:w="1500"/>
          </w:tcPr>
          <w:p>
            <w:r>
              <w:t xml:space="preserve">2026-01-09</w:t>
            </w:r>
          </w:p>
        </w:tc>
        <w:tc>
          <w:tcPr>
            <w:tcW w:type="dxa" w:w="1500"/>
          </w:tcPr>
          <w:p>
            <w:r>
              <w:t xml:space="preserve">MEDIUM — the two KFF counts (S7, S8) differ because they were taken at different times as states responded to the federal expiration; reported as a range in Appendix D rather than reconciled to one number.</w:t>
            </w:r>
          </w:p>
        </w:tc>
      </w:tr>
      <w:tr>
        <w:tc>
          <w:tcPr>
            <w:tcW w:type="dxa" w:w="1500"/>
          </w:tcPr>
          <w:p>
            <w:r>
              <w:t xml:space="preserve">S9</w:t>
            </w:r>
          </w:p>
        </w:tc>
        <w:tc>
          <w:tcPr>
            <w:tcW w:type="dxa" w:w="1500"/>
          </w:tcPr>
          <w:p>
            <w:r>
              <w:t xml:space="preserve">New Mexico state legislative appropriations to backfill lost federal enhancement</w:t>
            </w:r>
          </w:p>
        </w:tc>
        <w:tc>
          <w:tcPr>
            <w:tcW w:type="dxa" w:w="1500"/>
          </w:tcPr>
          <w:p>
            <w:r>
              <w:t xml:space="preserve">$21.5M (Jan. 2025 session) + $17.3M (Oct. 2025 special session)</w:t>
            </w:r>
          </w:p>
        </w:tc>
        <w:tc>
          <w:tcPr>
            <w:tcW w:type="dxa" w:w="1500"/>
          </w:tcPr>
          <w:p>
            <w:r>
              <w:t xml:space="preserve">Office of the Governor of New Mexico — </w:t>
            </w:r>
            <w:hyperlink w:history="1" r:id="rIdi9m97uucp_hjh6kefnrgt">
              <w:r>
                <w:rPr>
                  <w:rStyle w:val="Hyperlink"/>
                </w:rPr>
                <w:t xml:space="preserve">New Mexico fills gap after Congressional Republicans let ACA tax credits expire</w:t>
              </w:r>
            </w:hyperlink>
          </w:p>
        </w:tc>
        <w:tc>
          <w:tcPr>
            <w:tcW w:type="dxa" w:w="1500"/>
          </w:tcPr>
          <w:p>
            <w:r>
              <w:t xml:space="preserve">2026-01-06</w:t>
            </w:r>
          </w:p>
        </w:tc>
        <w:tc>
          <w:tcPr>
            <w:tcW w:type="dxa" w:w="1500"/>
          </w:tcPr>
          <w:p>
            <w:r>
              <w:t xml:space="preserve">HIGH</w:t>
            </w:r>
          </w:p>
        </w:tc>
      </w:tr>
      <w:tr>
        <w:tc>
          <w:tcPr>
            <w:tcW w:type="dxa" w:w="1500"/>
          </w:tcPr>
          <w:p>
            <w:r>
              <w:t xml:space="preserve">S10</w:t>
            </w:r>
          </w:p>
        </w:tc>
        <w:tc>
          <w:tcPr>
            <w:tcW w:type="dxa" w:w="1500"/>
          </w:tcPr>
          <w:p>
            <w:r>
              <w:t xml:space="preserve">Corroboration of New Mexico appropriation figures and "fully backfills" characterization</w:t>
            </w:r>
          </w:p>
        </w:tc>
        <w:tc>
          <w:tcPr>
            <w:tcW w:type="dxa" w:w="1500"/>
          </w:tcPr>
          <w:p>
            <w:r>
              <w:t xml:space="preserve">≈$38.8M combined, through June 30, 2026</w:t>
            </w:r>
          </w:p>
        </w:tc>
        <w:tc>
          <w:tcPr>
            <w:tcW w:type="dxa" w:w="1500"/>
          </w:tcPr>
          <w:p>
            <w:r>
              <w:t xml:space="preserve">KSFR — </w:t>
            </w:r>
            <w:hyperlink w:history="1" r:id="rIdzuenfmvrqqztpm6txpzga">
              <w:r>
                <w:rPr>
                  <w:rStyle w:val="Hyperlink"/>
                </w:rPr>
                <w:t xml:space="preserve">State of New Mexico picks up the tab for expiring federal health insurance subsidies</w:t>
              </w:r>
            </w:hyperlink>
          </w:p>
        </w:tc>
        <w:tc>
          <w:tcPr>
            <w:tcW w:type="dxa" w:w="1500"/>
          </w:tcPr>
          <w:p>
            <w:r>
              <w:t xml:space="preserve">2025-12-30</w:t>
            </w:r>
          </w:p>
        </w:tc>
        <w:tc>
          <w:tcPr>
            <w:tcW w:type="dxa" w:w="1500"/>
          </w:tcPr>
          <w:p>
            <w:r>
              <w:t xml:space="preserve">HIGH</w:t>
            </w:r>
          </w:p>
        </w:tc>
      </w:tr>
      <w:tr>
        <w:tc>
          <w:tcPr>
            <w:tcW w:type="dxa" w:w="1500"/>
          </w:tcPr>
          <w:p>
            <w:r>
              <w:t xml:space="preserve">S11</w:t>
            </w:r>
          </w:p>
        </w:tc>
        <w:tc>
          <w:tcPr>
            <w:tcW w:type="dxa" w:w="1500"/>
          </w:tcPr>
          <w:p>
            <w:r>
              <w:t xml:space="preserve">Massachusetts added state ConnectorCare funding</w:t>
            </w:r>
          </w:p>
        </w:tc>
        <w:tc>
          <w:tcPr>
            <w:tcW w:type="dxa" w:w="1500"/>
          </w:tcPr>
          <w:p>
            <w:r>
              <w:t xml:space="preserve">$250 million, bringing total to $600 million (plan year 2026)</w:t>
            </w:r>
          </w:p>
        </w:tc>
        <w:tc>
          <w:tcPr>
            <w:tcW w:type="dxa" w:w="1500"/>
          </w:tcPr>
          <w:p>
            <w:r>
              <w:t xml:space="preserve">Mass.gov — </w:t>
            </w:r>
            <w:hyperlink w:history="1" r:id="rIdjdobun7rzxfnac70qfmq_">
              <w:r>
                <w:rPr>
                  <w:rStyle w:val="Hyperlink"/>
                </w:rPr>
                <w:t xml:space="preserve">Governor Healey Details Strongest Plan in the Country to Protect Against President Trump's ACA Cost Hikes</w:t>
              </w:r>
            </w:hyperlink>
            <w:r>
              <w:t xml:space="preserve">; corroborated by GBH News and CommonWealth Beacon</w:t>
            </w:r>
          </w:p>
        </w:tc>
        <w:tc>
          <w:tcPr>
            <w:tcW w:type="dxa" w:w="1500"/>
          </w:tcPr>
          <w:p>
            <w:r>
              <w:t xml:space="preserve">2026-01-08</w:t>
            </w:r>
          </w:p>
        </w:tc>
        <w:tc>
          <w:tcPr>
            <w:tcW w:type="dxa" w:w="1500"/>
          </w:tcPr>
          <w:p>
            <w:r>
              <w:t xml:space="preserve">HIGH</w:t>
            </w:r>
          </w:p>
        </w:tc>
      </w:tr>
      <w:tr>
        <w:tc>
          <w:tcPr>
            <w:tcW w:type="dxa" w:w="1500"/>
          </w:tcPr>
          <w:p>
            <w:r>
              <w:t xml:space="preserve">S12</w:t>
            </w:r>
          </w:p>
        </w:tc>
        <w:tc>
          <w:tcPr>
            <w:tcW w:type="dxa" w:w="1500"/>
          </w:tcPr>
          <w:p>
            <w:r>
              <w:t xml:space="preserve">California 2026 state marketplace subsidy program cost</w:t>
            </w:r>
          </w:p>
        </w:tc>
        <w:tc>
          <w:tcPr>
            <w:tcW w:type="dxa" w:w="1500"/>
          </w:tcPr>
          <w:p>
            <w:r>
              <w:t xml:space="preserve">$190 million (up to 165% FPL)</w:t>
            </w:r>
          </w:p>
        </w:tc>
        <w:tc>
          <w:tcPr>
            <w:tcW w:type="dxa" w:w="1500"/>
          </w:tcPr>
          <w:p>
            <w:r>
              <w:t xml:space="preserve">Covered California newsroom — </w:t>
            </w:r>
            <w:hyperlink w:history="1" r:id="rIdjk_qmaqgeg0tgsxgxoslh">
              <w:r>
                <w:rPr>
                  <w:rStyle w:val="Hyperlink"/>
                </w:rPr>
                <w:t xml:space="preserve">As Enhanced Federal Subsidies Expire, Covered California Ends Open Enrollment...</w:t>
              </w:r>
            </w:hyperlink>
          </w:p>
        </w:tc>
        <w:tc>
          <w:tcPr>
            <w:tcW w:type="dxa" w:w="1500"/>
          </w:tcPr>
          <w:p>
            <w:r>
              <w:t xml:space="preserve">2026-02-26</w:t>
            </w:r>
          </w:p>
        </w:tc>
        <w:tc>
          <w:tcPr>
            <w:tcW w:type="dxa" w:w="1500"/>
          </w:tcPr>
          <w:p>
            <w:r>
              <w:t xml:space="preserve">HIGH</w:t>
            </w:r>
          </w:p>
        </w:tc>
      </w:tr>
      <w:tr>
        <w:tc>
          <w:tcPr>
            <w:tcW w:type="dxa" w:w="1500"/>
          </w:tcPr>
          <w:p>
            <w:r>
              <w:t xml:space="preserve">S13</w:t>
            </w:r>
          </w:p>
        </w:tc>
        <w:tc>
          <w:tcPr>
            <w:tcW w:type="dxa" w:w="1500"/>
          </w:tcPr>
          <w:p>
            <w:r>
              <w:t xml:space="preserve">California 2027 state marketplace subsidy program cost (finalized)</w:t>
            </w:r>
          </w:p>
        </w:tc>
        <w:tc>
          <w:tcPr>
            <w:tcW w:type="dxa" w:w="1500"/>
          </w:tcPr>
          <w:p>
            <w:r>
              <w:t xml:space="preserve">$300 million (up to 200% FPL), included in the signed FY2026–27 state budget</w:t>
            </w:r>
          </w:p>
        </w:tc>
        <w:tc>
          <w:tcPr>
            <w:tcW w:type="dxa" w:w="1500"/>
          </w:tcPr>
          <w:p>
            <w:r>
              <w:t xml:space="preserve">CalMatters — </w:t>
            </w:r>
            <w:hyperlink w:history="1" r:id="rIdcbo3-gbxukdc695idqblu">
              <w:r>
                <w:rPr>
                  <w:rStyle w:val="Hyperlink"/>
                </w:rPr>
                <w:t xml:space="preserve">Newsom's parting gift: A budget that delays California's deep cuts to 2027</w:t>
              </w:r>
            </w:hyperlink>
          </w:p>
        </w:tc>
        <w:tc>
          <w:tcPr>
            <w:tcW w:type="dxa" w:w="1500"/>
          </w:tcPr>
          <w:p>
            <w:r>
              <w:t xml:space="preserve">2026-06-29</w:t>
            </w:r>
          </w:p>
        </w:tc>
        <w:tc>
          <w:tcPr>
            <w:tcW w:type="dxa" w:w="1500"/>
          </w:tcPr>
          <w:p>
            <w:r>
              <w:t xml:space="preserve">HIGH</w:t>
            </w:r>
          </w:p>
        </w:tc>
      </w:tr>
      <w:tr>
        <w:tc>
          <w:tcPr>
            <w:tcW w:type="dxa" w:w="1500"/>
          </w:tcPr>
          <w:p>
            <w:r>
              <w:t xml:space="preserve">S14</w:t>
            </w:r>
          </w:p>
        </w:tc>
        <w:tc>
          <w:tcPr>
            <w:tcW w:type="dxa" w:w="1500"/>
          </w:tcPr>
          <w:p>
            <w:r>
              <w:t xml:space="preserve">National share of APTC-eligible marketplace enrollees with income over 400% FPL</w:t>
            </w:r>
          </w:p>
        </w:tc>
        <w:tc>
          <w:tcPr>
            <w:tcW w:type="dxa" w:w="1500"/>
          </w:tcPr>
          <w:p>
            <w:r>
              <w:t xml:space="preserve">5%</w:t>
            </w:r>
          </w:p>
        </w:tc>
        <w:tc>
          <w:tcPr>
            <w:tcW w:type="dxa" w:w="1500"/>
          </w:tcPr>
          <w:p>
            <w:r>
              <w:t xml:space="preserve">CMS — 2025 QHP Premiums and Choice Report (describing PY2024 open enrollment data)</w:t>
            </w:r>
          </w:p>
        </w:tc>
        <w:tc>
          <w:tcPr>
            <w:tcW w:type="dxa" w:w="1500"/>
          </w:tcPr>
          <w:p>
            <w:r>
              <w:t xml:space="preserve">2025</w:t>
            </w:r>
          </w:p>
        </w:tc>
        <w:tc>
          <w:tcPr>
            <w:tcW w:type="dxa" w:w="1500"/>
          </w:tcPr>
          <w:p>
            <w:r>
              <w:t xml:space="preserve">HIGH</w:t>
            </w:r>
          </w:p>
        </w:tc>
      </w:tr>
      <w:tr>
        <w:tc>
          <w:tcPr>
            <w:tcW w:type="dxa" w:w="1500"/>
          </w:tcPr>
          <w:p>
            <w:r>
              <w:t xml:space="preserve">S15</w:t>
            </w:r>
          </w:p>
        </w:tc>
        <w:tc>
          <w:tcPr>
            <w:tcW w:type="dxa" w:w="1500"/>
          </w:tcPr>
          <w:p>
            <w:r>
              <w:t xml:space="preserve">National share of 2025 plan selections in the 400–500% FPL band specifically</w:t>
            </w:r>
          </w:p>
        </w:tc>
        <w:tc>
          <w:tcPr>
            <w:tcW w:type="dxa" w:w="1500"/>
          </w:tcPr>
          <w:p>
            <w:r>
              <w:t xml:space="preserve">3%</w:t>
            </w:r>
          </w:p>
        </w:tc>
        <w:tc>
          <w:tcPr>
            <w:tcW w:type="dxa" w:w="1500"/>
          </w:tcPr>
          <w:p>
            <w:r>
              <w:t xml:space="preserve">Reporting on CMS open-enrollment data, cited via healthinsurance.org/KFF commentary on the "subsidy cliff" population</w:t>
            </w:r>
          </w:p>
        </w:tc>
        <w:tc>
          <w:tcPr>
            <w:tcW w:type="dxa" w:w="1500"/>
          </w:tcPr>
          <w:p>
            <w:r>
              <w:t xml:space="preserve">2025–2026</w:t>
            </w:r>
          </w:p>
        </w:tc>
        <w:tc>
          <w:tcPr>
            <w:tcW w:type="dxa" w:w="1500"/>
          </w:tcPr>
          <w:p>
            <w:r>
              <w:t xml:space="preserve">MEDIUM — a proxy quantity (the 400–500% band, not a "how close to exactly 400%" measure); the best published narrower band available.</w:t>
            </w:r>
          </w:p>
        </w:tc>
      </w:tr>
      <w:tr>
        <w:tc>
          <w:tcPr>
            <w:tcW w:type="dxa" w:w="1500"/>
          </w:tcPr>
          <w:p>
            <w:r>
              <w:t xml:space="preserve">S16</w:t>
            </w:r>
          </w:p>
        </w:tc>
        <w:tc>
          <w:tcPr>
            <w:tcW w:type="dxa" w:w="1500"/>
          </w:tcPr>
          <w:p>
            <w:r>
              <w:t xml:space="preserve">Real comparably-sized state marketplace enrollment, used as MA1's scale anchor</w:t>
            </w:r>
          </w:p>
        </w:tc>
        <w:tc>
          <w:tcPr>
            <w:tcW w:type="dxa" w:w="1500"/>
          </w:tcPr>
          <w:p>
            <w:r>
              <w:t xml:space="preserve">≈486,000 (Pennsylvania's Pennie, close of 2026 open enrollment)</w:t>
            </w:r>
          </w:p>
        </w:tc>
        <w:tc>
          <w:tcPr>
            <w:tcW w:type="dxa" w:w="1500"/>
          </w:tcPr>
          <w:p>
            <w:r>
              <w:t xml:space="preserve">PHIEA (Pennie's issuer/agency association) — </w:t>
            </w:r>
            <w:hyperlink w:history="1" r:id="rIdwgvni7ihhkv8pyzxjx_mu">
              <w:r>
                <w:rPr>
                  <w:rStyle w:val="Hyperlink"/>
                </w:rPr>
                <w:t xml:space="preserve">One in Five Pennie Enrollees Drop Health Coverage Due to Expired Federal Tax Credits</w:t>
              </w:r>
            </w:hyperlink>
            <w:r>
              <w:t xml:space="preserve">; corroborated by Pennsylvania Office of Rural Health reporting</w:t>
            </w:r>
          </w:p>
        </w:tc>
        <w:tc>
          <w:tcPr>
            <w:tcW w:type="dxa" w:w="1500"/>
          </w:tcPr>
          <w:p>
            <w:r>
              <w:t xml:space="preserve">2026</w:t>
            </w:r>
          </w:p>
        </w:tc>
        <w:tc>
          <w:tcPr>
            <w:tcW w:type="dxa" w:w="1500"/>
          </w:tcPr>
          <w:p>
            <w:r>
              <w:t xml:space="preserve">HIGH — used only as a scale anchor for the fictional MA1, not as a claim about Pennsylvania itself.</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nzsdkjx5pzbiavtfzmtb" Type="http://schemas.openxmlformats.org/officeDocument/2006/relationships/hyperlink" Target="https://aspe.hhs.gov/sites/default/files/documents/dd73d4f00d8a819d10b2fdb70d254f7b/detailed-guidelines-2025.pdf" TargetMode="External"/><Relationship Id="rIdhn0zcuu9eb_l5kbp0v0xy" Type="http://schemas.openxmlformats.org/officeDocument/2006/relationships/hyperlink" Target="https://aspe.hhs.gov/sites/default/files/documents/b1bfa16b20ae9b89d525bc35de7c1643/detailed-guidelines-2026.pdf" TargetMode="External"/><Relationship Id="rIdgs9wvprvrj3ejfioewnou" Type="http://schemas.openxmlformats.org/officeDocument/2006/relationships/hyperlink" Target="https://www.kff.org/quick-insights/a-steep-subsidy-cliff-looms-for-older-middle-income-enrollees-if-aca-enhanced-tax-credits-expire/" TargetMode="External"/><Relationship Id="rIdwcsxfvexzd-emcrdvzffo" Type="http://schemas.openxmlformats.org/officeDocument/2006/relationships/hyperlink" Target="https://www.kff.org/affordable-care-act/aca-marketplace-premium-payments-would-more-than-double-on-average-next-year-if-enhanced-premium-tax-credits-expire/" TargetMode="External"/><Relationship Id="rIdnmj5nzk8zhllxs8ei93vw" Type="http://schemas.openxmlformats.org/officeDocument/2006/relationships/hyperlink" Target="https://www.healthinsurance.org/blog/how-sunsetting-arps-subsidy-enhancements-would-affect-aca-subsidy-amounts/" TargetMode="External"/><Relationship Id="rIdqwx4hjgjn_780bqqezntu" Type="http://schemas.openxmlformats.org/officeDocument/2006/relationships/hyperlink" Target="https://www.americanhealthlaw.org/content-library/health-law-weekly/article/d2c0bdbb-4d88-47c6-9631-d510b2ed31c3/cbo-pegs-cost-of-extending-enhanced-aca-premium-ta" TargetMode="External"/><Relationship Id="rId7vhk_ob_nw5mbiw0qfqpf" Type="http://schemas.openxmlformats.org/officeDocument/2006/relationships/hyperlink" Target="https://www.kff.org/faqs/faqs-health-insurance-marketplace-and-the-aca/help-paying-marketplace-premiums-the-basics/which-states-offer-additional-financial-assistance-for-marketplace-plans/" TargetMode="External"/><Relationship Id="rId_idqj14djjeatuaunibn-" Type="http://schemas.openxmlformats.org/officeDocument/2006/relationships/hyperlink" Target="https://www.kff.org/affordable-care-act/state-based-efforts-will-provide-limited-relief-from-enhanced-tax-credit-expiration/" TargetMode="External"/><Relationship Id="rIdi9m97uucp_hjh6kefnrgt" Type="http://schemas.openxmlformats.org/officeDocument/2006/relationships/hyperlink" Target="https://www.governor.state.nm.us/2026/01/06/new-mexico-fills-gap-after-congress-lets-aca-tax-credits-expire-bewell-enrollees-shielded-from-premium-hikes-as-subsidies-lapse/" TargetMode="External"/><Relationship Id="rIdzuenfmvrqqztpm6txpzga" Type="http://schemas.openxmlformats.org/officeDocument/2006/relationships/hyperlink" Target="https://www.ksfr.org/government/2025-12-30/state-of-new-mexico-picks-up-the-tab-for-expiring-federal-health-insurance-subsidies" TargetMode="External"/><Relationship Id="rIdjdobun7rzxfnac70qfmq_" Type="http://schemas.openxmlformats.org/officeDocument/2006/relationships/hyperlink" Target="https://www.mass.gov/news/governor-healey-details-strongest-plan-in-the-country-to-protect-against-president-trumps-aca-cost-hikes" TargetMode="External"/><Relationship Id="rIdjk_qmaqgeg0tgsxgxoslh" Type="http://schemas.openxmlformats.org/officeDocument/2006/relationships/hyperlink" Target="https://www.coveredca.com/newsroom/news-releases/2026/02/26/as-enhanced-federal-subsidies-expire-covered-california-ends-open-enrollment-with-state-subsidies-keeping-renewals-steady-for-now-and-new-signups-down/" TargetMode="External"/><Relationship Id="rIdcbo3-gbxukdc695idqblu" Type="http://schemas.openxmlformats.org/officeDocument/2006/relationships/hyperlink" Target="https://calmatters.org/politics/2026/06/california-gavin-newsom-final-budget-deal/" TargetMode="External"/><Relationship Id="rIdwgvni7ihhkv8pyzxjx_mu" Type="http://schemas.openxmlformats.org/officeDocument/2006/relationships/hyperlink" Target="https://agency.pennie.com/one-in-five-pennie-enrollees-drop-health-coverage-due-to-expired-federal-tax-credit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2026-09-02T00:51:05.684Z</dcterms:created>
  <dcterms:modified xsi:type="dcterms:W3CDTF">2026-09-02T00:51:05.687Z</dcterms:modified>
</cp:coreProperties>
</file>

<file path=docProps/custom.xml><?xml version="1.0" encoding="utf-8"?>
<Properties xmlns="http://schemas.openxmlformats.org/officeDocument/2006/custom-properties" xmlns:vt="http://schemas.openxmlformats.org/officeDocument/2006/docPropsVTypes"/>
</file>