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2"/>
          <w:szCs w:val="32"/>
        </w:rPr>
        <w:t xml:space="preserve">Case Study: The Contrapositive Claim</w:t>
      </w:r>
    </w:p>
    <w:p>
      <w:pPr>
        <w:spacing w:after="240"/>
        <w:jc w:val="center"/>
      </w:pPr>
      <w:r>
        <w:rPr>
          <w:i/>
          <w:iCs/>
          <w:sz w:val="22"/>
          <w:szCs w:val="22"/>
        </w:rPr>
        <w:t xml:space="preserve"/>
      </w:r>
    </w:p>
    <w:p>
      <w:r>
        <w:t xml:space="preserve">MS | Math | Case Study | 2026-27 | Adventure</w:t>
      </w:r>
    </w:p>
    <w:p>
      <w:pPr>
        <w:pStyle w:val="Heading2"/>
        <w:spacing w:after="120" w:before="240"/>
      </w:pPr>
      <w:r>
        <w:t xml:space="preserve">Overview</w:t>
      </w:r>
    </w:p>
    <w:p>
      <w:r>
        <w:t xml:space="preserve">Marisol Aguon has the appeal open in one window and the denial letter open in the other, and the two of them don't agree with each other the way they're supposed to.</w:t>
      </w:r>
    </w:p>
    <w:p>
      <w:r>
        <w:t xml:space="preserve">The claimant's roof came apart in a windstorm, water got into the attic before anyone could get a tarp up, and the adjuster denied the whole thing under the flood exclusion — the clause that says if the damage was caused by flood, the loss isn't covered. Marisol has read that clause a thousand times. She's about to read the adjuster's reasoning for the thousand-and-first, and something about it keeps snagging.</w:t>
      </w:r>
    </w:p>
    <w:p>
      <w:r>
        <w:t xml:space="preserve">The adjuster didn't find flood damage and then deny the claim. He looked at the denial he wanted to write and worked backward — water got in, so it must have been the flood clause. That is not the same sentence read forward, and Marisol knows it isn't, even if she can't yet say cleanly why.</w:t>
      </w:r>
    </w:p>
    <w:p>
      <w:r>
        <w:t xml:space="preserve">She pulls up the audit-standard memo she's supposed to sign off on before her afternoon call — the one that tells the whole appeals team, going forward, exactly how to read every clause like this one. Two drafts sit open at the bottom of her screen: one where the standard stays exactly as written, and one where she rewrites it as its own logical mirror image, so the same clause can't be misread in the other direction again.</w:t>
      </w:r>
    </w:p>
    <w:p>
      <w:r>
        <w:t xml:space="preserve">Her manager's message is still sitting unread at the top of her inbox: </w:t>
      </w:r>
      <w:r>
        <w:rPr>
          <w:i/>
          <w:iCs/>
        </w:rPr>
        <w:t xml:space="preserve">Need your call on the audit standard before the call.</w:t>
      </w:r>
      <w:r>
        <w:t xml:space="preserve"> Marisol's cursor sits between the two drafts, and the clock in the corner of her screen just ticked forward another minute.</w:t>
      </w:r>
    </w:p>
    <w:p>
      <w:pPr>
        <w:pStyle w:val="Heading2"/>
        <w:spacing w:after="120" w:before="240"/>
      </w:pPr>
      <w:r>
        <w:t xml:space="preserve">Background</w:t>
      </w:r>
    </w:p>
    <w:p>
      <w:r>
        <w:t xml:space="preserve">Marisol Aguon is a senior claims auditor at a mid-size property and homeowners insurer. She reviews denied claims that policyholders have formally appealed, and she is responsible for setting the review standard the appeals team applies going forward — whichever standard she picks becomes the rule every adjuster in her group is trained to follow, and she answers for that choice to underwriting leadership and to the company's compliance office (SEE APPENDIX A).</w:t>
      </w:r>
    </w:p>
    <w:p>
      <w:r>
        <w:t xml:space="preserve">The clause at the center of this file is a standard flood-damage exclusion (SEE APPENDIX A): </w:t>
      </w:r>
      <w:r>
        <w:rPr>
          <w:i/>
          <w:iCs/>
        </w:rPr>
        <w:t xml:space="preserve">if damage was caused by flood, the loss is not covered.</w:t>
      </w:r>
      <w:r>
        <w:t xml:space="preserve"> Adjusters are trained to apply that sentence literally — check the cause of loss first, deny coverage when flood is the cause. This case calls that standard the </w:t>
      </w:r>
      <w:r>
        <w:rPr>
          <w:b/>
          <w:bCs/>
        </w:rPr>
        <w:t xml:space="preserve">Plain-Text Standard</w:t>
      </w:r>
      <w:r>
        <w:t xml:space="preserve">. Marisol's alternative is to direct her team to apply the clause's logical contrapositive instead — </w:t>
      </w:r>
      <w:r>
        <w:rPr>
          <w:i/>
          <w:iCs/>
        </w:rPr>
        <w:t xml:space="preserve">if coverage was not denied, damage was not caused by flood</w:t>
      </w:r>
      <w:r>
        <w:t xml:space="preserve"> — a standard this case calls the </w:t>
      </w:r>
      <w:r>
        <w:rPr>
          <w:b/>
          <w:bCs/>
        </w:rPr>
        <w:t xml:space="preserve">Mirror-Image Standard</w:t>
      </w:r>
      <w:r>
        <w:t xml:space="preserve">, built to catch appeals where an adjuster's reasoning ran in a direction the original clause never licensed.</w:t>
      </w:r>
    </w:p>
    <w:p>
      <w:r>
        <w:t xml:space="preserve">This is not a hypothetical problem. Company leadership has flagged that the appeals team's justified-complaint rate has moved sharply over the last reporting year, tracking a pattern the California Department of Insurance's own annual Consumer Complaint Study shows across several major homeowners carriers statewide (SEE APPENDIX B). The National Association of Insurance Commissioners' Market Conduct Annual Statement program collects a comparable claims-handling measure nationally across 51 jurisdictions, though — as Appendix C explains — it does not publish a complaint-specific rate for the homeowners line the way California does (SEE APPENDIX C). Neither source proves that adjusters are confusing the clause's converse with its true contrapositive — that specific mechanism is this case's own modeling premise, stated here openly as a scenario assumption, not a documented finding — but the reasoning errors it describes have real, formally recognized names in logic and in law, and a pattern of wrongful denials carries real legal exposure for the company that lets it continue (SEE APPENDIX D).</w:t>
      </w:r>
    </w:p>
    <w:p>
      <w:r>
        <w:t xml:space="preserve">Marisol has one constructed log of past appeals to test both candidate standards against before she has to send her recommendation (SEE APPENDIX E), and a hard deadline she cannot move. Whatever she recommends becomes the appeals team's standing rule the moment she sends it.</w:t>
      </w:r>
    </w:p>
    <w:p>
      <w:r>
        <w:t xml:space="preserve">All figures in this case are either cited to a real source (Appendix G — Sources) or stated openly as a scenario modeling assumption (Appendix F — Modeling Assumptions) — never invented quietly. The vocabulary and the "how to…" skills this case will ask you to research are listed in Appendix H; that is where Challenge 1 sends you.</w:t>
      </w:r>
    </w:p>
    <w:p>
      <w:pPr>
        <w:pStyle w:val="Heading2"/>
        <w:spacing w:after="120" w:before="240"/>
      </w:pPr>
      <w:r>
        <w:t xml:space="preserve">Dilemma</w:t>
      </w:r>
    </w:p>
    <w:p>
      <w:r>
        <w:t xml:space="preserve">You are Marisol Aguon.</w:t>
      </w:r>
    </w:p>
    <w:p>
      <w:r>
        <w:t xml:space="preserve">Do you:</w:t>
      </w:r>
    </w:p>
    <w:p>
      <w:r>
        <w:t xml:space="preserve">A.) Keep the appeals team applying the flood-damage clause literally, exactly as written — the Plain-Text Standard OR</w:t>
      </w:r>
    </w:p>
    <w:p>
      <w:r>
        <w:t xml:space="preserve">B.) Direct the appeals team to apply the clause's logical contrapositive as the new audit standard — the Mirror-Image Standard</w:t>
      </w:r>
    </w:p>
    <w:p>
      <w:pPr>
        <w:pStyle w:val="Heading2"/>
        <w:spacing w:after="120" w:before="240"/>
      </w:pPr>
      <w:r>
        <w:t xml:space="preserve">Challenges</w:t>
      </w:r>
    </w:p>
    <w:p>
      <w:r>
        <w:t xml:space="preserve">1.) Research and find an online resource that answers one of the "how to…" questions from the case study launch. Post a link to the resource as your submission.</w:t>
      </w:r>
    </w:p>
    <w:p>
      <w:r>
        <w:t xml:space="preserve">2.) Post 250 or more "excellent" words pitching a firm stance to your audience on which you would choose and why. Your pitch must include:     a.) Use of the "how to…" resource you researched in Challenge 1.     b.) At least one original visual display of the data.</w:t>
      </w:r>
    </w:p>
    <w:p>
      <w:r>
        <w:t xml:space="preserve">3.) Your pitch must include:     D1. A logic reference sheet that writes the flood-damage clause (Appendix A) as a symbolic     conditional statement p → q, with p and q each clearly labeled, and then writes out its     converse, its inverse, and its true contrapositive, each in full English sentences and in     symbolic notation.     D2. A single compound-statement truth table covering all four candidate rules from D1 — the     original conditional, its converse, its inverse, and its contrapositive — side by side for     the same p and q, built following the correct row-generation procedure, with a written note     identifying which columns of the table are logically identical to each other and which are     not.     D3. A negation table that gives, for each of the four candidate rules in D1, the correct     logical negation of that rule's conclusion, with a short written explanation of why negating     a conditional statement is not the same operation as forming its inverse.     D4. A classification memo that takes at least four of the appeal scenarios logged in     Appendix E, writes each one as a compound claim joining two claim facts with "and" or "or,"     translates each compound claim into symbolic notation, and evaluates it as true or false     against D2's truth table.     D5. A wrongly-denied-claims-caught count: using Appendix E's full constructed appeals log and     D1's four candidate rules, a complete arithmetic worksheet showing the number of wrongly-denied     claims caught per 100 appeals reviewed under the Plain-Text Standard, and the number caught     per 100 appeals reviewed under the Mirror-Image Standard.</w:t>
      </w:r>
    </w:p>
    <w:p>
      <w:r>
        <w:t xml:space="preserve">4.) An appendix showing evidence of your original thinking, work, calculations and processes you used to complete the challenges (pictures, screenshots, notes, etc.). Your work in the appendix does not count toward your word count.</w:t>
      </w:r>
    </w:p>
    <w:p>
      <w:r>
        <w:t xml:space="preserve">5.) Participate twice or more in the Case Study discussion. *If you are absent the day of a discussion post 500 "excellent" words on the questions above.</w:t>
      </w:r>
    </w:p>
    <w:p>
      <w:pPr>
        <w:pStyle w:val="Heading2"/>
        <w:spacing w:after="120" w:before="240"/>
      </w:pPr>
      <w:r>
        <w:t xml:space="preserve">Appendix A — The Policy Clause</w:t>
      </w:r>
    </w:p>
    <w:p>
      <w:r>
        <w:t xml:space="preserve">The flood-damage exclusion clause under audit, reproduced from the standard ISO Homeowners 3 — Special Form (the most widely issued homeowners policy form in the United States), Section I — Exclusions, heading "Water" [S4][S5][S6]:</w:t>
      </w:r>
    </w:p>
    <w:p>
      <w:pPr>
        <w:ind w:left="480"/>
      </w:pPr>
      <w:r>
        <w:rPr>
          <w:b/>
          <w:bCs/>
        </w:rPr>
        <w:t xml:space="preserve">SECTION I — EXCLUSIONS</w:t>
      </w:r>
      <w:r>
        <w:t xml:space="preserve">  We do not insure for loss caused directly or indirectly by any of the following. Such loss is excluded regardless of any other cause or event contributing concurrently or in any sequence to the loss.  </w:t>
      </w:r>
      <w:r>
        <w:rPr>
          <w:b/>
          <w:bCs/>
        </w:rPr>
        <w:t xml:space="preserve">3. Water</w:t>
      </w:r>
      <w:r>
        <w:t xml:space="preserve">  a. Flood, surface water, waves, including tidal wave and tsunami, tides, tidal water, overflow of any body of water, or spray from any of these, all whether or not driven by wind, including storm surge.</w:t>
      </w:r>
    </w:p>
    <w:p>
      <w:r>
        <w:t xml:space="preserve">Confidence note: the "Water" heading's definitional list (the clause's own definition of "flood") is quoted verbatim from a footnoted legal white paper's reproduction of the ISO HO3 form language [S4], and a second, independent legal-analysis source confirms this same category still governs under the current ISO HO 00 03 (edition 03 22, © 2021) form, in the same Section I — Exclusions location [S5]. The anti-concurrent-causation lead-in sentence ("We do not insure for loss caused directly or indirectly...") is standard, widely-reproduced ISO homeowners-form language, confirmed verbatim by legal commentary discussing its enforcement [S6] — its exact placement was not independently confirmed against a specific current-edition page. All three fragments are assembled here as a single clause for classroom use; see Appendix G — Sources for full citations.</w:t>
      </w:r>
    </w:p>
    <w:p>
      <w:r>
        <w:t xml:space="preserve">For reference, the clause's antecedent (p) and consequent (q):</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Symbol</w:t>
            </w:r>
          </w:p>
        </w:tc>
        <w:tc>
          <w:tcPr>
            <w:tcW w:type="dxa" w:w="4500"/>
            <w:shd w:fill="DDDDDD" w:val="clear"/>
          </w:tcPr>
          <w:p>
            <w:r>
              <w:t xml:space="preserve">Statement</w:t>
            </w:r>
          </w:p>
        </w:tc>
      </w:tr>
      <w:tr>
        <w:tc>
          <w:tcPr>
            <w:tcW w:type="dxa" w:w="4500"/>
          </w:tcPr>
          <w:p>
            <w:r>
              <w:t xml:space="preserve">p</w:t>
            </w:r>
          </w:p>
        </w:tc>
        <w:tc>
          <w:tcPr>
            <w:tcW w:type="dxa" w:w="4500"/>
          </w:tcPr>
          <w:p>
            <w:r>
              <w:t xml:space="preserve">Damage was caused by flood</w:t>
            </w:r>
          </w:p>
        </w:tc>
      </w:tr>
      <w:tr>
        <w:tc>
          <w:tcPr>
            <w:tcW w:type="dxa" w:w="4500"/>
          </w:tcPr>
          <w:p>
            <w:r>
              <w:t xml:space="preserve">q</w:t>
            </w:r>
          </w:p>
        </w:tc>
        <w:tc>
          <w:tcPr>
            <w:tcW w:type="dxa" w:w="4500"/>
          </w:tcPr>
          <w:p>
            <w:r>
              <w:t xml:space="preserve">Coverage is denied</w:t>
            </w:r>
          </w:p>
        </w:tc>
      </w:tr>
    </w:tbl>
    <w:p/>
    <w:p>
      <w:r>
        <w:t xml:space="preserve">The clause as written is the conditional p → q. Marisol's two candidate standards apply this clause and its logical relatives differently to the same appeal file (SEE APPENDICES D and E).</w:t>
      </w:r>
    </w:p>
    <w:p>
      <w:r>
        <w:t xml:space="preserve">Referenced from Background and Challenge D1.</w:t>
      </w:r>
    </w:p>
    <w:p>
      <w:pPr>
        <w:pStyle w:val="Heading2"/>
        <w:spacing w:after="120" w:before="240"/>
      </w:pPr>
      <w:r>
        <w:t xml:space="preserve">Appendix B — California DOI 2025 Consumer Complaint Study: Homeowners Justified-Complaint Ratios</w:t>
      </w:r>
    </w:p>
    <w:p>
      <w:r>
        <w:t xml:space="preserve">The California Department of Insurance publishes an annual Consumer Complaint Study reporting a justified-complaint ratio (justified complaints per 100,000 policy exposures) for the largest homeowners insurers operating in the state, broken out by individual company across the three most recent reporting years.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shd w:fill="DDDDDD" w:val="clear"/>
          </w:tcPr>
          <w:p>
            <w:r>
              <w:t xml:space="preserve">Carrier</w:t>
            </w:r>
          </w:p>
        </w:tc>
        <w:tc>
          <w:tcPr>
            <w:tcW w:type="dxa" w:w="1800"/>
            <w:shd w:fill="DDDDDD" w:val="clear"/>
          </w:tcPr>
          <w:p>
            <w:r>
              <w:t xml:space="preserve">Approx. policy exposures (2024)</w:t>
            </w:r>
          </w:p>
        </w:tc>
        <w:tc>
          <w:tcPr>
            <w:tcW w:type="dxa" w:w="1800"/>
            <w:shd w:fill="DDDDDD" w:val="clear"/>
          </w:tcPr>
          <w:p>
            <w:r>
              <w:t xml:space="preserve">2022 ratio</w:t>
            </w:r>
          </w:p>
        </w:tc>
        <w:tc>
          <w:tcPr>
            <w:tcW w:type="dxa" w:w="1800"/>
            <w:shd w:fill="DDDDDD" w:val="clear"/>
          </w:tcPr>
          <w:p>
            <w:r>
              <w:t xml:space="preserve">2023 ratio</w:t>
            </w:r>
          </w:p>
        </w:tc>
        <w:tc>
          <w:tcPr>
            <w:tcW w:type="dxa" w:w="1800"/>
            <w:shd w:fill="DDDDDD" w:val="clear"/>
          </w:tcPr>
          <w:p>
            <w:r>
              <w:t xml:space="preserve">2024 ratio</w:t>
            </w:r>
          </w:p>
        </w:tc>
      </w:tr>
      <w:tr>
        <w:tc>
          <w:tcPr>
            <w:tcW w:type="dxa" w:w="1800"/>
          </w:tcPr>
          <w:p>
            <w:r>
              <w:t xml:space="preserve">State Farm General Insurance Company</w:t>
            </w:r>
          </w:p>
        </w:tc>
        <w:tc>
          <w:tcPr>
            <w:tcW w:type="dxa" w:w="1800"/>
          </w:tcPr>
          <w:p>
            <w:r>
              <w:t xml:space="preserve">2,139,816</w:t>
            </w:r>
          </w:p>
        </w:tc>
        <w:tc>
          <w:tcPr>
            <w:tcW w:type="dxa" w:w="1800"/>
          </w:tcPr>
          <w:p>
            <w:r>
              <w:t xml:space="preserve">1.4 [S1]</w:t>
            </w:r>
          </w:p>
        </w:tc>
        <w:tc>
          <w:tcPr>
            <w:tcW w:type="dxa" w:w="1800"/>
          </w:tcPr>
          <w:p>
            <w:r>
              <w:t xml:space="preserve">1.6 [S1]</w:t>
            </w:r>
          </w:p>
        </w:tc>
        <w:tc>
          <w:tcPr>
            <w:tcW w:type="dxa" w:w="1800"/>
          </w:tcPr>
          <w:p>
            <w:r>
              <w:t xml:space="preserve">11.9 [S1]</w:t>
            </w:r>
          </w:p>
        </w:tc>
      </w:tr>
      <w:tr>
        <w:tc>
          <w:tcPr>
            <w:tcW w:type="dxa" w:w="1800"/>
          </w:tcPr>
          <w:p>
            <w:r>
              <w:t xml:space="preserve">Farmers Insurance Exchange</w:t>
            </w:r>
          </w:p>
        </w:tc>
        <w:tc>
          <w:tcPr>
            <w:tcW w:type="dxa" w:w="1800"/>
          </w:tcPr>
          <w:p>
            <w:r>
              <w:t xml:space="preserve">439,921</w:t>
            </w:r>
          </w:p>
        </w:tc>
        <w:tc>
          <w:tcPr>
            <w:tcW w:type="dxa" w:w="1800"/>
          </w:tcPr>
          <w:p>
            <w:r>
              <w:t xml:space="preserve">4.5 [S1]</w:t>
            </w:r>
          </w:p>
        </w:tc>
        <w:tc>
          <w:tcPr>
            <w:tcW w:type="dxa" w:w="1800"/>
          </w:tcPr>
          <w:p>
            <w:r>
              <w:t xml:space="preserve">24.0 [S1]</w:t>
            </w:r>
          </w:p>
        </w:tc>
        <w:tc>
          <w:tcPr>
            <w:tcW w:type="dxa" w:w="1800"/>
          </w:tcPr>
          <w:p>
            <w:r>
              <w:t xml:space="preserve">40.2 [S1]</w:t>
            </w:r>
          </w:p>
        </w:tc>
      </w:tr>
      <w:tr>
        <w:tc>
          <w:tcPr>
            <w:tcW w:type="dxa" w:w="1800"/>
          </w:tcPr>
          <w:p>
            <w:r>
              <w:t xml:space="preserve">Mid-Century Insurance Company</w:t>
            </w:r>
          </w:p>
        </w:tc>
        <w:tc>
          <w:tcPr>
            <w:tcW w:type="dxa" w:w="1800"/>
          </w:tcPr>
          <w:p>
            <w:r>
              <w:t xml:space="preserve">186,617</w:t>
            </w:r>
          </w:p>
        </w:tc>
        <w:tc>
          <w:tcPr>
            <w:tcW w:type="dxa" w:w="1800"/>
          </w:tcPr>
          <w:p>
            <w:r>
              <w:t xml:space="preserve">4.5 [S1]</w:t>
            </w:r>
          </w:p>
        </w:tc>
        <w:tc>
          <w:tcPr>
            <w:tcW w:type="dxa" w:w="1800"/>
          </w:tcPr>
          <w:p>
            <w:r>
              <w:t xml:space="preserve">31.8 [S1]</w:t>
            </w:r>
          </w:p>
        </w:tc>
        <w:tc>
          <w:tcPr>
            <w:tcW w:type="dxa" w:w="1800"/>
          </w:tcPr>
          <w:p>
            <w:r>
              <w:t xml:space="preserve">51.4 [S1]</w:t>
            </w:r>
          </w:p>
        </w:tc>
      </w:tr>
      <w:tr>
        <w:tc>
          <w:tcPr>
            <w:tcW w:type="dxa" w:w="1800"/>
          </w:tcPr>
          <w:p>
            <w:r>
              <w:t xml:space="preserve">USAA General Indemnity Company</w:t>
            </w:r>
          </w:p>
        </w:tc>
        <w:tc>
          <w:tcPr>
            <w:tcW w:type="dxa" w:w="1800"/>
          </w:tcPr>
          <w:p>
            <w:r>
              <w:t xml:space="preserve">159,197</w:t>
            </w:r>
          </w:p>
        </w:tc>
        <w:tc>
          <w:tcPr>
            <w:tcW w:type="dxa" w:w="1800"/>
          </w:tcPr>
          <w:p>
            <w:r>
              <w:t xml:space="preserve">1.6 [S1]</w:t>
            </w:r>
          </w:p>
        </w:tc>
        <w:tc>
          <w:tcPr>
            <w:tcW w:type="dxa" w:w="1800"/>
          </w:tcPr>
          <w:p>
            <w:r>
              <w:t xml:space="preserve">1.4 [S1]</w:t>
            </w:r>
          </w:p>
        </w:tc>
        <w:tc>
          <w:tcPr>
            <w:tcW w:type="dxa" w:w="1800"/>
          </w:tcPr>
          <w:p>
            <w:r>
              <w:t xml:space="preserve">0.6 [S1]</w:t>
            </w:r>
          </w:p>
        </w:tc>
      </w:tr>
      <w:tr>
        <w:tc>
          <w:tcPr>
            <w:tcW w:type="dxa" w:w="1800"/>
          </w:tcPr>
          <w:p>
            <w:r>
              <w:t xml:space="preserve">Marisol's carrier (exposure base, MA1)</w:t>
            </w:r>
          </w:p>
        </w:tc>
        <w:tc>
          <w:tcPr>
            <w:tcW w:type="dxa" w:w="1800"/>
          </w:tcPr>
          <w:p>
            <w:r>
              <w:t xml:space="preserve">250,000 (MA1)</w:t>
            </w:r>
          </w:p>
        </w:tc>
        <w:tc>
          <w:tcPr>
            <w:tcW w:type="dxa" w:w="1800"/>
          </w:tcPr>
          <w:p>
            <w:r>
              <w:t xml:space="preserve">—</w:t>
            </w:r>
          </w:p>
        </w:tc>
        <w:tc>
          <w:tcPr>
            <w:tcW w:type="dxa" w:w="1800"/>
          </w:tcPr>
          <w:p>
            <w:r>
              <w:t xml:space="preserve">—</w:t>
            </w:r>
          </w:p>
        </w:tc>
        <w:tc>
          <w:tcPr>
            <w:tcW w:type="dxa" w:w="1800"/>
          </w:tcPr>
          <w:p>
            <w:r>
              <w:t xml:space="preserve">18.5 (MA1)</w:t>
            </w:r>
          </w:p>
        </w:tc>
      </w:tr>
    </w:tbl>
    <w:p/>
    <w:p>
      <w:r>
        <w:t xml:space="preserve">Ratio units: justified complaints per 100,000 policy exposures, California DOI 2025 Consumer Complaint Study — Homeowners, ranked over the three most recent reporting years. Three of the four named carriers show the same real, dramatic pattern: a small single-digit ratio in 2022–2023 that jumps sharply in 2024 (Farmers 4.5→24.0→40.2; Mid-Century 4.5→31.8→51.4; State Farm General 1.4→1.6→11.9) — an unexplained spike this case does not attempt to diagnose. USAA General Indemnity is the counter-example in the same table: its ratio actually </w:t>
      </w:r>
      <w:r>
        <w:rPr>
          <w:i/>
          <w:iCs/>
        </w:rPr>
        <w:t xml:space="preserve">fell</w:t>
      </w:r>
      <w:r>
        <w:t xml:space="preserve"> over the same period (1.6→1.4→0.6), showing the 2024 jump is not universal across every carrier. Marisol's carrier is fictional — it is not one of the four named real carriers above — and its row is a stated </w:t>
      </w:r>
      <w:r>
        <w:rPr>
          <w:b/>
          <w:bCs/>
        </w:rPr>
        <w:t xml:space="preserve">Modeling Assumption (MA1)</w:t>
      </w:r>
      <w:r>
        <w:t xml:space="preserve">, not a sourced figure; see Modeling Assumptions (Appendix F).</w:t>
      </w:r>
    </w:p>
    <w:p>
      <w:r>
        <w:t xml:space="preserve">Referenced from Background and Challenge D5.</w:t>
      </w:r>
    </w:p>
    <w:p>
      <w:pPr>
        <w:pStyle w:val="Heading2"/>
        <w:spacing w:after="120" w:before="240"/>
      </w:pPr>
      <w:r>
        <w:t xml:space="preserve">Appendix C — NAIC Market Conduct Annual Statement (MCAS)</w:t>
      </w:r>
    </w:p>
    <w:p>
      <w:r>
        <w:t xml:space="preserve">The National Association of Insurance Commissioners' Market Conduct Annual Statement program collects standardized claims-handling data by state and line of business from 715 participating homeowners insurers nationwide (2024 data year) [S2]. A genuine search — including a direct fetch of NAIC's published homeowners MCAS scorecard file itself — confirms that MCAS </w:t>
      </w:r>
      <w:r>
        <w:rPr>
          <w:b/>
          <w:bCs/>
        </w:rPr>
        <w:t xml:space="preserve">does</w:t>
      </w:r>
      <w:r>
        <w:t xml:space="preserve"> collect a raw "number of complaints received directly from a consumer" data element per company [S3], but </w:t>
      </w:r>
      <w:r>
        <w:rPr>
          <w:b/>
          <w:bCs/>
        </w:rPr>
        <w:t xml:space="preserve">does not publish</w:t>
      </w:r>
      <w:r>
        <w:t xml:space="preserve"> a complaints-per-1,000-policies or complaints-to-claims-opened rate for the homeowners line in its public scorecard product; company-level MCAS data is confidential, and the public scorecard's homeowners ratios cover claims-handling outcomes instead — see the </w:t>
      </w:r>
      <w:r>
        <w:rPr>
          <w:b/>
          <w:bCs/>
        </w:rPr>
        <w:t xml:space="preserve">Rejected anchor</w:t>
      </w:r>
      <w:r>
        <w:t xml:space="preserve"> note in Appendix G — Sources. In its place, this appendix reports two ratios the public 2024 homeowners scorecard </w:t>
      </w:r>
      <w:r>
        <w:rPr>
          <w:i/>
          <w:iCs/>
        </w:rPr>
        <w:t xml:space="preserve">does</w:t>
      </w:r>
      <w:r>
        <w:t xml:space="preserve"> publish, for California, that speak to the same underlying concern (how often a denial-adjacent claims-handling outcome occurs) [S2]:</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Metric (NAIC MCAS 2024 Homeowners Scorecard, California)</w:t>
            </w:r>
          </w:p>
        </w:tc>
        <w:tc>
          <w:tcPr>
            <w:tcW w:type="dxa" w:w="4500"/>
            <w:shd w:fill="DDDDDD" w:val="clear"/>
          </w:tcPr>
          <w:p>
            <w:r>
              <w:t xml:space="preserve">Value</w:t>
            </w:r>
          </w:p>
        </w:tc>
      </w:tr>
      <w:tr>
        <w:tc>
          <w:tcPr>
            <w:tcW w:type="dxa" w:w="4500"/>
          </w:tcPr>
          <w:p>
            <w:r>
              <w:t xml:space="preserve">Claims closed without payment, as a share of all claims closed (Ratio 1)</w:t>
            </w:r>
          </w:p>
        </w:tc>
        <w:tc>
          <w:tcPr>
            <w:tcW w:type="dxa" w:w="4500"/>
          </w:tcPr>
          <w:p>
            <w:r>
              <w:t xml:space="preserve">34.9% [S2]</w:t>
            </w:r>
          </w:p>
        </w:tc>
      </w:tr>
      <w:tr>
        <w:tc>
          <w:tcPr>
            <w:tcW w:type="dxa" w:w="4500"/>
          </w:tcPr>
          <w:p>
            <w:r>
              <w:t xml:space="preserve">Lawsuits opened during the period, as a share of claims closed without payment (Ratio 7)</w:t>
            </w:r>
          </w:p>
        </w:tc>
        <w:tc>
          <w:tcPr>
            <w:tcW w:type="dxa" w:w="4500"/>
          </w:tcPr>
          <w:p>
            <w:r>
              <w:t xml:space="preserve">1.9% [S2]</w:t>
            </w:r>
          </w:p>
        </w:tc>
      </w:tr>
    </w:tbl>
    <w:p/>
    <w:p>
      <w:r>
        <w:t xml:space="preserve">Referenced from Background.</w:t>
      </w:r>
    </w:p>
    <w:p>
      <w:pPr>
        <w:pStyle w:val="Heading2"/>
        <w:spacing w:after="120" w:before="240"/>
      </w:pPr>
      <w:r>
        <w:t xml:space="preserve">Appendix D — Legal &amp; Regulatory Context</w:t>
      </w:r>
    </w:p>
    <w:p>
      <w:r>
        <w:t xml:space="preserve">Two real, formally recognized reasoning errors bear directly on Marisol's decision: </w:t>
      </w:r>
      <w:r>
        <w:rPr>
          <w:b/>
          <w:bCs/>
        </w:rPr>
        <w:t xml:space="preserve">affirming the consequent</w:t>
      </w:r>
      <w:r>
        <w:t xml:space="preserve"> (treating a conditional's converse as if it were logically equivalent to the original statement) and </w:t>
      </w:r>
      <w:r>
        <w:rPr>
          <w:b/>
          <w:bCs/>
        </w:rPr>
        <w:t xml:space="preserve">denying the antecedent</w:t>
      </w:r>
      <w:r>
        <w:t xml:space="preserve"> (treating a conditional's inverse the same way). Both are standard, textbook fallacy names in formal logic — the Ninth Circuit's own case library keeps a subject file connecting the name "denying the antecedent" to </w:t>
      </w:r>
      <w:r>
        <w:rPr>
          <w:i/>
          <w:iCs/>
        </w:rPr>
        <w:t xml:space="preserve">Carver v. Lehman</w:t>
      </w:r>
      <w:r>
        <w:t xml:space="preserve">, No. 06-35176 (9th Cir. 2008) [S7], though the fallacy's name does not appear in the opinion's own text itself (SEE APPENDIX G, S7 note) — the case names are cited here for their formal-logic content, not as a claim about what any specific opinion's text says.</w:t>
      </w:r>
    </w:p>
    <w:p>
      <w:r>
        <w:t xml:space="preserve">First-party bad-faith claim handling is a real, litigated cause of action under California law — California Civil Jury Instructions No. 2332, "Bad Faith (First Party) — Failure to Properly Investigate Claim" [S8] — with real governing precedent (</w:t>
      </w:r>
      <w:r>
        <w:rPr>
          <w:i/>
          <w:iCs/>
        </w:rPr>
        <w:t xml:space="preserve">Hangarter v. Provident Life and Accident Insurance Co.</w:t>
      </w:r>
      <w:r>
        <w:t xml:space="preserve">, 373 F.3d 998, Ninth Circuit, 2004) [S9]. A documented pattern of wrongly-denied claims, if the review standard behind it can be shown to be unsound, is the mechanism by which an audit-standard choice like Marisol's becomes exposure that reaches well past any single appeal file.</w:t>
      </w:r>
    </w:p>
    <w:p>
      <w:r>
        <w:t xml:space="preserve">A comparable pattern — automated or standardized claim-review processes producing a high rate of denials that are later overturned on appeal, discovered only after regulators or plaintiffs' counsel got there first — has already drawn federal scrutiny and litigation in health insurance, a different line of business from the property/homeowners scenario in this case. That is offered here only as context for why getting the review standard right, before a pattern like this appears in a company's own numbers, is a real and current concern in the insurance industry — not as data this case's own metric is computed from.</w:t>
      </w:r>
    </w:p>
    <w:p>
      <w:r>
        <w:t xml:space="preserve">Referenced from Background.</w:t>
      </w:r>
    </w:p>
    <w:p>
      <w:pPr>
        <w:pStyle w:val="Heading2"/>
        <w:spacing w:after="120" w:before="240"/>
      </w:pPr>
      <w:r>
        <w:t xml:space="preserve">Appendix E — Constructed Appeals File Log</w:t>
      </w:r>
    </w:p>
    <w:p>
      <w:r>
        <w:t xml:space="preserve">A log of past appeal files, constructed to test the Plain-Text Standard and the Mirror-Image Standard against the same set of cases. For each file: the cause of loss the adjuster's denial reasoning was built on, and the cause of loss a full post-review investigation later established.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shd w:fill="DDDDDD" w:val="clear"/>
          </w:tcPr>
          <w:p>
            <w:r>
              <w:t xml:space="preserve">Appeal ID</w:t>
            </w:r>
          </w:p>
        </w:tc>
        <w:tc>
          <w:tcPr>
            <w:tcW w:type="dxa" w:w="2250"/>
            <w:shd w:fill="DDDDDD" w:val="clear"/>
          </w:tcPr>
          <w:p>
            <w:r>
              <w:t xml:space="preserve">Reported facts of the claim</w:t>
            </w:r>
          </w:p>
        </w:tc>
        <w:tc>
          <w:tcPr>
            <w:tcW w:type="dxa" w:w="2250"/>
            <w:shd w:fill="DDDDDD" w:val="clear"/>
          </w:tcPr>
          <w:p>
            <w:r>
              <w:t xml:space="preserve">Adjuster's stated denial reasoning</w:t>
            </w:r>
          </w:p>
        </w:tc>
        <w:tc>
          <w:tcPr>
            <w:tcW w:type="dxa" w:w="2250"/>
            <w:shd w:fill="DDDDDD" w:val="clear"/>
          </w:tcPr>
          <w:p>
            <w:r>
              <w:t xml:space="preserve">Ground-truth cause of loss (post-review)</w:t>
            </w:r>
          </w:p>
        </w:tc>
      </w:tr>
      <w:tr>
        <w:tc>
          <w:tcPr>
            <w:tcW w:type="dxa" w:w="2250"/>
          </w:tcPr>
          <w:p>
            <w:r>
              <w:t xml:space="preserve">1</w:t>
            </w:r>
          </w:p>
        </w:tc>
        <w:tc>
          <w:tcPr>
            <w:tcW w:type="dxa" w:w="2250"/>
          </w:tcPr>
          <w:p>
            <w:r>
              <w:t xml:space="preserve">A windstorm tore a section of shingles and the underlying roof deck loose above the primary bedroom. Rain began roughly two hours later and entered through the exposed roof deck before a tarp could be secured, soaking the attic insulation, the bedroom ceiling, and the carpet below.</w:t>
            </w:r>
          </w:p>
        </w:tc>
        <w:tc>
          <w:tcPr>
            <w:tcW w:type="dxa" w:w="2250"/>
          </w:tcPr>
          <w:p>
            <w:r>
              <w:t xml:space="preserve">Water was found in the attic and bedroom ceiling; under the flood exclusion (Appendix A), coverage is denied.</w:t>
            </w:r>
          </w:p>
        </w:tc>
        <w:tc>
          <w:tcPr>
            <w:tcW w:type="dxa" w:w="2250"/>
          </w:tcPr>
          <w:p>
            <w:r>
              <w:t xml:space="preserve">Wind-driven rain entering through a wind-created roof opening — not flood; Appendix A's "Water" definition covers external rising or overflowing water, not rain entering through storm-damaged roofing.</w:t>
            </w:r>
          </w:p>
        </w:tc>
      </w:tr>
      <w:tr>
        <w:tc>
          <w:tcPr>
            <w:tcW w:type="dxa" w:w="2250"/>
          </w:tcPr>
          <w:p>
            <w:r>
              <w:t xml:space="preserve">2</w:t>
            </w:r>
          </w:p>
        </w:tc>
        <w:tc>
          <w:tcPr>
            <w:tcW w:type="dxa" w:w="2250"/>
          </w:tcPr>
          <w:p>
            <w:r>
              <w:t xml:space="preserve">A creek roughly two blocks from the property overflowed its banks during a multi-day regional storm system; neighbors reported standing water across the street and yard for several hours before it reached the foundation and entered through crawlspace vents.</w:t>
            </w:r>
          </w:p>
        </w:tc>
        <w:tc>
          <w:tcPr>
            <w:tcW w:type="dxa" w:w="2250"/>
          </w:tcPr>
          <w:p>
            <w:r>
              <w:t xml:space="preserve">Neighborhood-wide creek overflow reached the property before the storm subsided; flood exclusion (Appendix A) applies, coverage denied.</w:t>
            </w:r>
          </w:p>
        </w:tc>
        <w:tc>
          <w:tcPr>
            <w:tcW w:type="dxa" w:w="2250"/>
          </w:tcPr>
          <w:p>
            <w:r>
              <w:t xml:space="preserve">Overflow of a body of water — flood, per Appendix A's own definition.</w:t>
            </w:r>
          </w:p>
        </w:tc>
      </w:tr>
      <w:tr>
        <w:tc>
          <w:tcPr>
            <w:tcW w:type="dxa" w:w="2250"/>
          </w:tcPr>
          <w:p>
            <w:r>
              <w:t xml:space="preserve">3</w:t>
            </w:r>
          </w:p>
        </w:tc>
        <w:tc>
          <w:tcPr>
            <w:tcW w:type="dxa" w:w="2250"/>
          </w:tcPr>
          <w:p>
            <w:r>
              <w:t xml:space="preserve">Two weeks of below-freezing nights caused ice to build up along the roof's lower edge; meltwater backed up under the shingles and leaked into the attic and an upstairs closet, days after the last storm had passed.</w:t>
            </w:r>
          </w:p>
        </w:tc>
        <w:tc>
          <w:tcPr>
            <w:tcW w:type="dxa" w:w="2250"/>
          </w:tcPr>
          <w:p>
            <w:r>
              <w:t xml:space="preserve">Water intrusion found in the attic and closet; treated as a flood-type loss, coverage denied under the flood exclusion.</w:t>
            </w:r>
          </w:p>
        </w:tc>
        <w:tc>
          <w:tcPr>
            <w:tcW w:type="dxa" w:w="2250"/>
          </w:tcPr>
          <w:p>
            <w:r>
              <w:t xml:space="preserve">Ice-dam meltwater backup through roofing — not flood; no external rising or overflowing water was involved, and the loss occurred days after any storm activity.</w:t>
            </w:r>
          </w:p>
        </w:tc>
      </w:tr>
      <w:tr>
        <w:tc>
          <w:tcPr>
            <w:tcW w:type="dxa" w:w="2250"/>
          </w:tcPr>
          <w:p>
            <w:r>
              <w:t xml:space="preserve">4</w:t>
            </w:r>
          </w:p>
        </w:tc>
        <w:tc>
          <w:tcPr>
            <w:tcW w:type="dxa" w:w="2250"/>
          </w:tcPr>
          <w:p>
            <w:r>
              <w:t xml:space="preserve">A coastal storm system pushed a wall of seawater onto the property; the ground floor was submerged for several hours before the water receded.</w:t>
            </w:r>
          </w:p>
        </w:tc>
        <w:tc>
          <w:tcPr>
            <w:tcW w:type="dxa" w:w="2250"/>
          </w:tcPr>
          <w:p>
            <w:r>
              <w:t xml:space="preserve">Storm surge is explicitly listed under the policy's Water exclusion definition of flood (Appendix A); coverage denied.</w:t>
            </w:r>
          </w:p>
        </w:tc>
        <w:tc>
          <w:tcPr>
            <w:tcW w:type="dxa" w:w="2250"/>
          </w:tcPr>
          <w:p>
            <w:r>
              <w:t xml:space="preserve">Storm surge — flood, explicitly named in Appendix A's own definition.</w:t>
            </w:r>
          </w:p>
        </w:tc>
      </w:tr>
      <w:tr>
        <w:tc>
          <w:tcPr>
            <w:tcW w:type="dxa" w:w="2250"/>
          </w:tcPr>
          <w:p>
            <w:r>
              <w:t xml:space="preserve">5</w:t>
            </w:r>
          </w:p>
        </w:tc>
        <w:tc>
          <w:tcPr>
            <w:tcW w:type="dxa" w:w="2250"/>
          </w:tcPr>
          <w:p>
            <w:r>
              <w:t xml:space="preserve">A municipal sewer line serving the block backed up into the basement floor drain during an ordinary dry week, with no rain in the area for eleven days.</w:t>
            </w:r>
          </w:p>
        </w:tc>
        <w:tc>
          <w:tcPr>
            <w:tcW w:type="dxa" w:w="2250"/>
          </w:tcPr>
          <w:p>
            <w:r>
              <w:t xml:space="preserve">Basement flooding found; flood exclusion applies, coverage denied.</w:t>
            </w:r>
          </w:p>
        </w:tc>
        <w:tc>
          <w:tcPr>
            <w:tcW w:type="dxa" w:w="2250"/>
          </w:tcPr>
          <w:p>
            <w:r>
              <w:t xml:space="preserve">Municipal sewer backup during dry weather — not flood; no external rising-water event of any kind occurred in the reported facts.</w:t>
            </w:r>
          </w:p>
        </w:tc>
      </w:tr>
      <w:tr>
        <w:tc>
          <w:tcPr>
            <w:tcW w:type="dxa" w:w="2250"/>
          </w:tcPr>
          <w:p>
            <w:r>
              <w:t xml:space="preserve">6</w:t>
            </w:r>
          </w:p>
        </w:tc>
        <w:tc>
          <w:tcPr>
            <w:tcW w:type="dxa" w:w="2250"/>
          </w:tcPr>
          <w:p>
            <w:r>
              <w:t xml:space="preserve">A retaining wall on the hillside behind the property failed after weeks of saturated soil; runoff pooled against the foundation and seeped through a foundation crack into the basement over several days.</w:t>
            </w:r>
          </w:p>
        </w:tc>
        <w:tc>
          <w:tcPr>
            <w:tcW w:type="dxa" w:w="2250"/>
          </w:tcPr>
          <w:p>
            <w:r>
              <w:t xml:space="preserve">Surface water runoff following heavy regional rainfall entered the basement; flood exclusion (surface water) applies, coverage denied.</w:t>
            </w:r>
          </w:p>
        </w:tc>
        <w:tc>
          <w:tcPr>
            <w:tcW w:type="dxa" w:w="2250"/>
          </w:tcPr>
          <w:p>
            <w:r>
              <w:t xml:space="preserve">Surface water pooling and seepage — flood, explicitly named in Appendix A's own definition.</w:t>
            </w:r>
          </w:p>
        </w:tc>
      </w:tr>
      <w:tr>
        <w:tc>
          <w:tcPr>
            <w:tcW w:type="dxa" w:w="2250"/>
          </w:tcPr>
          <w:p>
            <w:r>
              <w:t xml:space="preserve">7</w:t>
            </w:r>
          </w:p>
        </w:tc>
        <w:tc>
          <w:tcPr>
            <w:tcW w:type="dxa" w:w="2250"/>
          </w:tcPr>
          <w:p>
            <w:r>
              <w:t xml:space="preserve">The HVAC unit's condensate drain line, installed without a proper trap, clogged with debris; condensate backed up and dripped through the hallway ceiling for roughly two weeks before it was noticed.</w:t>
            </w:r>
          </w:p>
        </w:tc>
        <w:tc>
          <w:tcPr>
            <w:tcW w:type="dxa" w:w="2250"/>
          </w:tcPr>
          <w:p>
            <w:r>
              <w:t xml:space="preserve">Ongoing water staining found in the ceiling; treated as a flood-type loss, coverage denied.</w:t>
            </w:r>
          </w:p>
        </w:tc>
        <w:tc>
          <w:tcPr>
            <w:tcW w:type="dxa" w:w="2250"/>
          </w:tcPr>
          <w:p>
            <w:r>
              <w:t xml:space="preserve">HVAC condensate drain clog — not flood; an internal mechanical malfunction, not an external water event.</w:t>
            </w:r>
          </w:p>
        </w:tc>
      </w:tr>
      <w:tr>
        <w:tc>
          <w:tcPr>
            <w:tcW w:type="dxa" w:w="2250"/>
          </w:tcPr>
          <w:p>
            <w:r>
              <w:t xml:space="preserve">8</w:t>
            </w:r>
          </w:p>
        </w:tc>
        <w:tc>
          <w:tcPr>
            <w:tcW w:type="dxa" w:w="2250"/>
          </w:tcPr>
          <w:p>
            <w:r>
              <w:t xml:space="preserve">An upstream dam released water after a period of unusually heavy snowmelt; the adjacent lake rose and overflowed into the neighborhood, reaching the property's lower level.</w:t>
            </w:r>
          </w:p>
        </w:tc>
        <w:tc>
          <w:tcPr>
            <w:tcW w:type="dxa" w:w="2250"/>
          </w:tcPr>
          <w:p>
            <w:r>
              <w:t xml:space="preserve">Lake overflow following the dam release reached the property; flood exclusion applies, coverage denied.</w:t>
            </w:r>
          </w:p>
        </w:tc>
        <w:tc>
          <w:tcPr>
            <w:tcW w:type="dxa" w:w="2250"/>
          </w:tcPr>
          <w:p>
            <w:r>
              <w:t xml:space="preserve">Overflow of a body of water — flood, per Appendix A's own definition.</w:t>
            </w:r>
          </w:p>
        </w:tc>
      </w:tr>
      <w:tr>
        <w:tc>
          <w:tcPr>
            <w:tcW w:type="dxa" w:w="2250"/>
          </w:tcPr>
          <w:p>
            <w:r>
              <w:t xml:space="preserve">9</w:t>
            </w:r>
          </w:p>
        </w:tc>
        <w:tc>
          <w:tcPr>
            <w:tcW w:type="dxa" w:w="2250"/>
          </w:tcPr>
          <w:p>
            <w:r>
              <w:t xml:space="preserve">A garden-level sump pump failed during an ordinary evening rain shower — well short of any regional storm warning — and the unpumped water backed up through the sump basin into the finished basement.</w:t>
            </w:r>
          </w:p>
        </w:tc>
        <w:tc>
          <w:tcPr>
            <w:tcW w:type="dxa" w:w="2250"/>
          </w:tcPr>
          <w:p>
            <w:r>
              <w:t xml:space="preserve">Basement water damage found following rainfall; flood exclusion applies, coverage denied.</w:t>
            </w:r>
          </w:p>
        </w:tc>
        <w:tc>
          <w:tcPr>
            <w:tcW w:type="dxa" w:w="2250"/>
          </w:tcPr>
          <w:p>
            <w:r>
              <w:t xml:space="preserve">Sump pump mechanical failure during ordinary rainfall — not flood; no overflow of a body of water or surface-water event was present in the reported facts.</w:t>
            </w:r>
          </w:p>
        </w:tc>
      </w:tr>
      <w:tr>
        <w:tc>
          <w:tcPr>
            <w:tcW w:type="dxa" w:w="2250"/>
          </w:tcPr>
          <w:p>
            <w:r>
              <w:t xml:space="preserve">10</w:t>
            </w:r>
          </w:p>
        </w:tc>
        <w:tc>
          <w:tcPr>
            <w:tcW w:type="dxa" w:w="2250"/>
          </w:tcPr>
          <w:p>
            <w:r>
              <w:t xml:space="preserve">A levee upstream from the property failed during a sustained multi-day storm, sending a wall of floodwater through the neighborhood that reached the first floor within twenty minutes.</w:t>
            </w:r>
          </w:p>
        </w:tc>
        <w:tc>
          <w:tcPr>
            <w:tcW w:type="dxa" w:w="2250"/>
          </w:tcPr>
          <w:p>
            <w:r>
              <w:t xml:space="preserve">Levee-failure flash flood reached the property; flood exclusion applies, coverage denied.</w:t>
            </w:r>
          </w:p>
        </w:tc>
        <w:tc>
          <w:tcPr>
            <w:tcW w:type="dxa" w:w="2250"/>
          </w:tcPr>
          <w:p>
            <w:r>
              <w:t xml:space="preserve">Flash flood following levee failure — flood, per Appendix A's own definition.</w:t>
            </w:r>
          </w:p>
        </w:tc>
      </w:tr>
      <w:tr>
        <w:tc>
          <w:tcPr>
            <w:tcW w:type="dxa" w:w="2250"/>
          </w:tcPr>
          <w:p>
            <w:r>
              <w:t xml:space="preserve">11</w:t>
            </w:r>
          </w:p>
        </w:tc>
        <w:tc>
          <w:tcPr>
            <w:tcW w:type="dxa" w:w="2250"/>
          </w:tcPr>
          <w:p>
            <w:r>
              <w:t xml:space="preserve">The water heater's tank corroded through and ruptured overnight in the utility closet, releasing its full tank contents across the utility room and hallway before it was discovered the next morning.</w:t>
            </w:r>
          </w:p>
        </w:tc>
        <w:tc>
          <w:tcPr>
            <w:tcW w:type="dxa" w:w="2250"/>
          </w:tcPr>
          <w:p>
            <w:r>
              <w:t xml:space="preserve">Extensive interior water damage found; treated as a flood-type loss, coverage denied.</w:t>
            </w:r>
          </w:p>
        </w:tc>
        <w:tc>
          <w:tcPr>
            <w:tcW w:type="dxa" w:w="2250"/>
          </w:tcPr>
          <w:p>
            <w:r>
              <w:t xml:space="preserve">Water heater tank rupture — not flood; an internal appliance failure.</w:t>
            </w:r>
          </w:p>
        </w:tc>
      </w:tr>
      <w:tr>
        <w:tc>
          <w:tcPr>
            <w:tcW w:type="dxa" w:w="2250"/>
          </w:tcPr>
          <w:p>
            <w:r>
              <w:t xml:space="preserve">12</w:t>
            </w:r>
          </w:p>
        </w:tc>
        <w:tc>
          <w:tcPr>
            <w:tcW w:type="dxa" w:w="2250"/>
          </w:tcPr>
          <w:p>
            <w:r>
              <w:t xml:space="preserve">The property sits in a mapped coastal flood zone; an unusually high spring tide combined with an onshore wind pushed tidal water across the yard and into the ground-level garage.</w:t>
            </w:r>
          </w:p>
        </w:tc>
        <w:tc>
          <w:tcPr>
            <w:tcW w:type="dxa" w:w="2250"/>
          </w:tcPr>
          <w:p>
            <w:r>
              <w:t xml:space="preserve">Tidal water inundation reached the garage; flood exclusion (tidal water) applies, coverage denied.</w:t>
            </w:r>
          </w:p>
        </w:tc>
        <w:tc>
          <w:tcPr>
            <w:tcW w:type="dxa" w:w="2250"/>
          </w:tcPr>
          <w:p>
            <w:r>
              <w:t xml:space="preserve">Tidal water — flood, explicitly named in Appendix A's own definition.</w:t>
            </w:r>
          </w:p>
        </w:tc>
      </w:tr>
      <w:tr>
        <w:tc>
          <w:tcPr>
            <w:tcW w:type="dxa" w:w="2250"/>
          </w:tcPr>
          <w:p>
            <w:r>
              <w:t xml:space="preserve">13</w:t>
            </w:r>
          </w:p>
        </w:tc>
        <w:tc>
          <w:tcPr>
            <w:tcW w:type="dxa" w:w="2250"/>
          </w:tcPr>
          <w:p>
            <w:r>
              <w:t xml:space="preserve">A window-mounted air conditioning unit was reinstalled slightly out of level after a repair visit; rainwater from an ordinary evening shower seeped around the gap into the wall cavity below the window over the following month.</w:t>
            </w:r>
          </w:p>
        </w:tc>
        <w:tc>
          <w:tcPr>
            <w:tcW w:type="dxa" w:w="2250"/>
          </w:tcPr>
          <w:p>
            <w:r>
              <w:t xml:space="preserve">Water damage found in the wall below the window; treated as a flood-type loss, coverage denied.</w:t>
            </w:r>
          </w:p>
        </w:tc>
        <w:tc>
          <w:tcPr>
            <w:tcW w:type="dxa" w:w="2250"/>
          </w:tcPr>
          <w:p>
            <w:r>
              <w:t xml:space="preserve">Improperly sealed window air conditioning unit — not flood; an installation defect, not an external water event.</w:t>
            </w:r>
          </w:p>
        </w:tc>
      </w:tr>
      <w:tr>
        <w:tc>
          <w:tcPr>
            <w:tcW w:type="dxa" w:w="2250"/>
          </w:tcPr>
          <w:p>
            <w:r>
              <w:t xml:space="preserve">14</w:t>
            </w:r>
          </w:p>
        </w:tc>
        <w:tc>
          <w:tcPr>
            <w:tcW w:type="dxa" w:w="2250"/>
          </w:tcPr>
          <w:p>
            <w:r>
              <w:t xml:space="preserve">Water staining was found inside an exterior wall cavity shortly after a regional storm passed through; no active leak, opening, or standing water was visible anywhere on the property at the time of the appeal review, and the reported facts did not identify any specific point of entry.</w:t>
            </w:r>
          </w:p>
        </w:tc>
        <w:tc>
          <w:tcPr>
            <w:tcW w:type="dxa" w:w="2250"/>
          </w:tcPr>
          <w:p>
            <w:r>
              <w:t xml:space="preserve">Water staining found in an exterior wall following a storm in the area; flood exclusion applies, coverage denied.</w:t>
            </w:r>
          </w:p>
        </w:tc>
        <w:tc>
          <w:tcPr>
            <w:tcW w:type="dxa" w:w="2250"/>
          </w:tcPr>
          <w:p>
            <w:r>
              <w:t xml:space="preserve">A slow pinhole leak in an interior supply line, unrelated to the storm, was discovered only months later during an unrelated remodel that opened the same wall — not flood, but nothing in the reported facts available at the time of the appeal review identified this competing cause.</w:t>
            </w:r>
          </w:p>
        </w:tc>
      </w:tr>
    </w:tbl>
    <w:p/>
    <w:p>
      <w:r>
        <w:t xml:space="preserve">This log is a constructed scenario dataset (</w:t>
      </w:r>
      <w:r>
        <w:rPr>
          <w:b/>
          <w:bCs/>
        </w:rPr>
        <w:t xml:space="preserve">Modeling Assumption MA2</w:t>
      </w:r>
      <w:r>
        <w:t xml:space="preserve">, Appendix F) — no insurer publishes its individual appeal records, so this table cannot be sourced, only stated openly. Its 14-row scale and its mix of outcomes (six clear flood denials, six clear non-flood misapplications, one wind-driven case a reviewer must actively check the reported facts to catch, and one file that was genuinely ambiguous at review time) is anchored only in the qualitative sense that a non-trivial, double-digit share of this log's appeals were later found wrongly denied — echoing Appendix B's real finding that several named carriers' justified-complaint rates rose sharply in</w:t>
      </w:r>
    </w:p>
    <w:p>
      <w:pPr>
        <w:ind w:left="360"/>
      </w:pPr>
      <w:r>
        <w:t xml:space="preserve">2024. Appendix B's ratio (per 100,000 policy exposures, statewide) and this log's rate (per 100 appeals, one small constructed file set) are different units on different bases and are not mathematically converted into one another anywhere in this case.</w:t>
      </w:r>
    </w:p>
    <w:p>
      <w:r>
        <w:t xml:space="preserve">Referenced from Challenges D4 and D5.</w:t>
      </w:r>
    </w:p>
    <w:p>
      <w:pPr>
        <w:pStyle w:val="Heading2"/>
        <w:spacing w:after="120" w:before="240"/>
      </w:pPr>
      <w:r>
        <w:t xml:space="preserve">Appendix F — Modeling Assumptions</w:t>
      </w:r>
    </w:p>
    <w:p>
      <w:pPr>
        <w:ind w:left="480"/>
      </w:pPr>
      <w:r>
        <w:t xml:space="preserve">These figures are </w:t>
      </w:r>
      <w:r>
        <w:rPr>
          <w:b/>
          <w:bCs/>
        </w:rPr>
        <w:t xml:space="preserve">not sourced</w:t>
      </w:r>
      <w:r>
        <w:t xml:space="preserve">. They are stated scenario assumptions chosen by the case author, because no real insurer publishes an individual employee's book of appeal files or the internal policy-exposure count behind a fictional carrier. A Hero may challenge them in discussion — that is a legitimate move.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shd w:fill="DDDDDD" w:val="clear"/>
          </w:tcPr>
          <w:p>
            <w:r>
              <w:t xml:space="preserve">#</w:t>
            </w:r>
          </w:p>
        </w:tc>
        <w:tc>
          <w:tcPr>
            <w:tcW w:type="dxa" w:w="1800"/>
            <w:shd w:fill="DDDDDD" w:val="clear"/>
          </w:tcPr>
          <w:p>
            <w:r>
              <w:t xml:space="preserve">Assumption</w:t>
            </w:r>
          </w:p>
        </w:tc>
        <w:tc>
          <w:tcPr>
            <w:tcW w:type="dxa" w:w="1800"/>
            <w:shd w:fill="DDDDDD" w:val="clear"/>
          </w:tcPr>
          <w:p>
            <w:r>
              <w:t xml:space="preserve">Value used</w:t>
            </w:r>
          </w:p>
        </w:tc>
        <w:tc>
          <w:tcPr>
            <w:tcW w:type="dxa" w:w="1800"/>
            <w:shd w:fill="DDDDDD" w:val="clear"/>
          </w:tcPr>
          <w:p>
            <w:r>
              <w:t xml:space="preserve">Basis</w:t>
            </w:r>
          </w:p>
        </w:tc>
        <w:tc>
          <w:tcPr>
            <w:tcW w:type="dxa" w:w="1800"/>
            <w:shd w:fill="DDDDDD" w:val="clear"/>
          </w:tcPr>
          <w:p>
            <w:r>
              <w:t xml:space="preserve">Sensitivity</w:t>
            </w:r>
          </w:p>
        </w:tc>
      </w:tr>
      <w:tr>
        <w:tc>
          <w:tcPr>
            <w:tcW w:type="dxa" w:w="1800"/>
          </w:tcPr>
          <w:p>
            <w:r>
              <w:t xml:space="preserve">MA0</w:t>
            </w:r>
          </w:p>
        </w:tc>
        <w:tc>
          <w:tcPr>
            <w:tcW w:type="dxa" w:w="1800"/>
          </w:tcPr>
          <w:p>
            <w:r>
              <w:t xml:space="preserve">Adjusters on Marisol's appeals team have, in a real but unquantified share of cases, misapplied the flood-damage clause by reasoning from its converse rather than its true contrapositive.</w:t>
            </w:r>
          </w:p>
        </w:tc>
        <w:tc>
          <w:tcPr>
            <w:tcW w:type="dxa" w:w="1800"/>
          </w:tcPr>
          <w:p>
            <w:r>
              <w:t xml:space="preserve">Not a number — a scenario premise.</w:t>
            </w:r>
          </w:p>
        </w:tc>
        <w:tc>
          <w:tcPr>
            <w:tcW w:type="dxa" w:w="1800"/>
          </w:tcPr>
          <w:p>
            <w:r>
              <w:t xml:space="preserve">No documented insurance-specific incident of this exact converse/contrapositive confusion was found in research. What is confirmed real: the underlying reasoning errors have standard, formally recognized names in formal logic — "affirming the consequent" (the converse error) and "denying the antecedent" (the inverse error) (Appendix D). This case states the specific insurance application as a scenario premise, openly — not as a documented finding.</w:t>
            </w:r>
          </w:p>
        </w:tc>
        <w:tc>
          <w:tcPr>
            <w:tcW w:type="dxa" w:w="1800"/>
          </w:tcPr>
          <w:p>
            <w:r>
              <w:t xml:space="preserve">The case's entire premise for why the Mirror-Image Standard could outperform the Plain-Text Standard rests on this assumption being true to some meaningful degree in Appendix E's log; the case does not claim it is true of any real carrier.</w:t>
            </w:r>
          </w:p>
        </w:tc>
      </w:tr>
      <w:tr>
        <w:tc>
          <w:tcPr>
            <w:tcW w:type="dxa" w:w="1800"/>
          </w:tcPr>
          <w:p>
            <w:r>
              <w:t xml:space="preserve">MA1</w:t>
            </w:r>
          </w:p>
        </w:tc>
        <w:tc>
          <w:tcPr>
            <w:tcW w:type="dxa" w:w="1800"/>
          </w:tcPr>
          <w:p>
            <w:r>
              <w:t xml:space="preserve">Marisol's carrier (fictional): policy exposure count and 2024 justified-complaint ratio, Appendix B</w:t>
            </w:r>
          </w:p>
        </w:tc>
        <w:tc>
          <w:tcPr>
            <w:tcW w:type="dxa" w:w="1800"/>
          </w:tcPr>
          <w:p>
            <w:r>
              <w:t xml:space="preserve">250,000 policy exposures; 18.5 justified complaints per 100,000 exposures (2024)</w:t>
            </w:r>
          </w:p>
        </w:tc>
        <w:tc>
          <w:tcPr>
            <w:tcW w:type="dxa" w:w="1800"/>
          </w:tcPr>
          <w:p>
            <w:r>
              <w:t xml:space="preserve">No real carrier's internal exposure count or complaint ratio for a fictional company can be sourced by definition. The exposure count is chosen between the smallest (USAA General Indemnity, 159,197) and second-largest (Farmers Insurance Exchange, 439,921) of the four real named carriers in Appendix B, at the scale of a genuinely mid-size insurer. The 2024 ratio (18.5) is chosen inside the real observed 2024 range across those same four carriers (0.6 to 51.4) [S1].</w:t>
            </w:r>
          </w:p>
        </w:tc>
        <w:tc>
          <w:tcPr>
            <w:tcW w:type="dxa" w:w="1800"/>
          </w:tcPr>
          <w:p>
            <w:r>
              <w:t xml:space="preserve">Low for the case's own math — this row is scene-setting only; Appendix B's real four-carrier data (not this row) is what Background and Challenge D5 actually reference. Raising or lowering this figure does not change Appendix E's log or D5's count.</w:t>
            </w:r>
          </w:p>
        </w:tc>
      </w:tr>
      <w:tr>
        <w:tc>
          <w:tcPr>
            <w:tcW w:type="dxa" w:w="1800"/>
          </w:tcPr>
          <w:p>
            <w:r>
              <w:t xml:space="preserve">MA2</w:t>
            </w:r>
          </w:p>
        </w:tc>
        <w:tc>
          <w:tcPr>
            <w:tcW w:type="dxa" w:w="1800"/>
          </w:tcPr>
          <w:p>
            <w:r>
              <w:t xml:space="preserve">Appendix E's full 14-row constructed appeals log (all three columns, all 14 rows)</w:t>
            </w:r>
          </w:p>
        </w:tc>
        <w:tc>
          <w:tcPr>
            <w:tcW w:type="dxa" w:w="1800"/>
          </w:tcPr>
          <w:p>
            <w:r>
              <w:t xml:space="preserve">See Appendix E table</w:t>
            </w:r>
          </w:p>
        </w:tc>
        <w:tc>
          <w:tcPr>
            <w:tcW w:type="dxa" w:w="1800"/>
          </w:tcPr>
          <w:p>
            <w:r>
              <w:t xml:space="preserve">Constructed to give a realistic mix of correctly-denied flood claims, plainly-misapplied non-flood claims a diligent reviewer under </w:t>
            </w:r>
            <w:r>
              <w:rPr>
                <w:i/>
                <w:iCs/>
              </w:rPr>
              <w:t xml:space="preserve">either</w:t>
            </w:r>
            <w:r>
              <w:t xml:space="preserve"> standard should catch, one converse-shaped misapplication a reviewer must actively check the reported facts to catch, and one file genuinely ambiguous at review time — spanning enough rows that Challenge D5's count rests on more than a handful of files. No real institution's internal appeal log is used or implied. Its overall wrongly-denied share is anchored only qualitatively to Appendix B's real, dramatic 2024 shift (see Appendix E's closing note) — the two figures use different units and are not mathematically converted into one another.</w:t>
            </w:r>
          </w:p>
        </w:tc>
        <w:tc>
          <w:tcPr>
            <w:tcW w:type="dxa" w:w="1800"/>
          </w:tcPr>
          <w:p>
            <w:r>
              <w:t xml:space="preserve">High — this table is what Challenge D5's count and its percentage margin are computed from directly. A different constructed log could shift, or even reverse, which standard the count favors.</w:t>
            </w:r>
          </w:p>
        </w:tc>
      </w:tr>
    </w:tbl>
    <w:p/>
    <w:p>
      <w:r>
        <w:t xml:space="preserve">Referenced from Appendix A, Appendix B, Appendix E, and Challenges D1–D5.</w:t>
      </w:r>
    </w:p>
    <w:p>
      <w:pPr>
        <w:pStyle w:val="Heading2"/>
        <w:spacing w:after="120" w:before="240"/>
      </w:pPr>
      <w:r>
        <w:t xml:space="preserve">Appendix G — Sources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c>
          <w:tcPr>
            <w:tcW w:type="dxa" w:w="1500"/>
            <w:shd w:fill="DDDDDD" w:val="clear"/>
          </w:tcPr>
          <w:p>
            <w:r>
              <w:t xml:space="preserve">id</w:t>
            </w:r>
          </w:p>
        </w:tc>
        <w:tc>
          <w:tcPr>
            <w:tcW w:type="dxa" w:w="1500"/>
            <w:shd w:fill="DDDDDD" w:val="clear"/>
          </w:tcPr>
          <w:p>
            <w:r>
              <w:t xml:space="preserve">Claim</w:t>
            </w:r>
          </w:p>
        </w:tc>
        <w:tc>
          <w:tcPr>
            <w:tcW w:type="dxa" w:w="1500"/>
            <w:shd w:fill="DDDDDD" w:val="clear"/>
          </w:tcPr>
          <w:p>
            <w:r>
              <w:t xml:space="preserve">Value</w:t>
            </w:r>
          </w:p>
        </w:tc>
        <w:tc>
          <w:tcPr>
            <w:tcW w:type="dxa" w:w="1500"/>
            <w:shd w:fill="DDDDDD" w:val="clear"/>
          </w:tcPr>
          <w:p>
            <w:r>
              <w:t xml:space="preserve">Source</w:t>
            </w:r>
          </w:p>
        </w:tc>
        <w:tc>
          <w:tcPr>
            <w:tcW w:type="dxa" w:w="1500"/>
            <w:shd w:fill="DDDDDD" w:val="clear"/>
          </w:tcPr>
          <w:p>
            <w:r>
              <w:t xml:space="preserve">Accessed</w:t>
            </w:r>
          </w:p>
        </w:tc>
        <w:tc>
          <w:tcPr>
            <w:tcW w:type="dxa" w:w="1500"/>
            <w:shd w:fill="DDDDDD" w:val="clear"/>
          </w:tcPr>
          <w:p>
            <w:r>
              <w:t xml:space="preserve">Confidence</w:t>
            </w:r>
          </w:p>
        </w:tc>
      </w:tr>
      <w:tr>
        <w:tc>
          <w:tcPr>
            <w:tcW w:type="dxa" w:w="1500"/>
          </w:tcPr>
          <w:p>
            <w:r>
              <w:t xml:space="preserve">S1</w:t>
            </w:r>
          </w:p>
        </w:tc>
        <w:tc>
          <w:tcPr>
            <w:tcW w:type="dxa" w:w="1500"/>
          </w:tcPr>
          <w:p>
            <w:r>
              <w:t xml:space="preserve">Justified-complaint ratio (justified complaints per 100,000 policy exposures) and approximate policy exposure count, homeowners line, 2022–2024, for State Farm General Insurance Company, Farmers Insurance Exchange, Mid-Century Insurance Company, and USAA General Indemnity Company</w:t>
            </w:r>
          </w:p>
        </w:tc>
        <w:tc>
          <w:tcPr>
            <w:tcW w:type="dxa" w:w="1500"/>
          </w:tcPr>
          <w:p>
            <w:r>
              <w:t xml:space="preserve">See Appendix B table</w:t>
            </w:r>
          </w:p>
        </w:tc>
        <w:tc>
          <w:tcPr>
            <w:tcW w:type="dxa" w:w="1500"/>
          </w:tcPr>
          <w:p>
            <w:r>
              <w:t xml:space="preserve">California Department of Insurance, </w:t>
            </w:r>
            <w:hyperlink w:history="1" r:id="rIdjsgg1ikivxxony_-23m8n">
              <w:r>
                <w:rPr>
                  <w:rStyle w:val="Hyperlink"/>
                </w:rPr>
                <w:t xml:space="preserve">2025 Consumer Complaint Study — Home</w:t>
              </w:r>
            </w:hyperlink>
            <w:r>
              <w:t xml:space="preserve"> (PDF, ranks the 50 largest homeowners insurers licensed in California over complaint years 2024, 2023, 2022)</w:t>
            </w:r>
          </w:p>
        </w:tc>
        <w:tc>
          <w:tcPr>
            <w:tcW w:type="dxa" w:w="1500"/>
          </w:tcPr>
          <w:p>
            <w:r>
              <w:t xml:space="preserve">2026-09-01</w:t>
            </w:r>
          </w:p>
        </w:tc>
        <w:tc>
          <w:tcPr>
            <w:tcW w:type="dxa" w:w="1500"/>
          </w:tcPr>
          <w:p>
            <w:r>
              <w:t xml:space="preserve">HIGH</w:t>
            </w:r>
          </w:p>
        </w:tc>
      </w:tr>
      <w:tr>
        <w:tc>
          <w:tcPr>
            <w:tcW w:type="dxa" w:w="1500"/>
          </w:tcPr>
          <w:p>
            <w:r>
              <w:t xml:space="preserve">S2</w:t>
            </w:r>
          </w:p>
        </w:tc>
        <w:tc>
          <w:tcPr>
            <w:tcW w:type="dxa" w:w="1500"/>
          </w:tcPr>
          <w:p>
            <w:r>
              <w:t xml:space="preserve">NAIC MCAS 2024 Homeowners Scorecard, California: Ratio 1 (claims closed without payment, share of total claims closed) and Ratio 7 (lawsuits opened during the period, share of claims closed without payment); 715 companies filed the 2024 homeowners MCAS nationwide</w:t>
            </w:r>
          </w:p>
        </w:tc>
        <w:tc>
          <w:tcPr>
            <w:tcW w:type="dxa" w:w="1500"/>
          </w:tcPr>
          <w:p>
            <w:r>
              <w:t xml:space="preserve">Ratio 1 = 34.9%; Ratio 7 = 1.9% (CA, data year 2024)</w:t>
            </w:r>
          </w:p>
        </w:tc>
        <w:tc>
          <w:tcPr>
            <w:tcW w:type="dxa" w:w="1500"/>
          </w:tcPr>
          <w:p>
            <w:r>
              <w:t xml:space="preserve">National Association of Insurance Commissioners, </w:t>
            </w:r>
            <w:hyperlink w:history="1" r:id="rIdctcsdct7ikz-ndbor-llb">
              <w:r>
                <w:rPr>
                  <w:rStyle w:val="Hyperlink"/>
                </w:rPr>
                <w:t xml:space="preserve">MCAS State Ratio Distribution Report for Data Year 2024 — Homeowners</w:t>
              </w:r>
            </w:hyperlink>
            <w:r>
              <w:t xml:space="preserve"> (XLSX, downloaded directly from the </w:t>
            </w:r>
            <w:hyperlink w:history="1" r:id="rIdtmt7c0tfi7qmxirsza0is">
              <w:r>
                <w:rPr>
                  <w:rStyle w:val="Hyperlink"/>
                </w:rPr>
                <w:t xml:space="preserve">MCAS Contacts and Scorecard</w:t>
              </w:r>
            </w:hyperlink>
            <w:r>
              <w:t xml:space="preserve"> page); company count from NAIC, </w:t>
            </w:r>
            <w:hyperlink w:history="1" r:id="rIdnj-s7ygn6t0izllupbb99">
              <w:r>
                <w:rPr>
                  <w:rStyle w:val="Hyperlink"/>
                </w:rPr>
                <w:t xml:space="preserve">MCAS Homeowners Insurance Report</w:t>
              </w:r>
            </w:hyperlink>
          </w:p>
        </w:tc>
        <w:tc>
          <w:tcPr>
            <w:tcW w:type="dxa" w:w="1500"/>
          </w:tcPr>
          <w:p>
            <w:r>
              <w:t xml:space="preserve">2026-09-01</w:t>
            </w:r>
          </w:p>
        </w:tc>
        <w:tc>
          <w:tcPr>
            <w:tcW w:type="dxa" w:w="1500"/>
          </w:tcPr>
          <w:p>
            <w:r>
              <w:t xml:space="preserve">HIGH</w:t>
            </w:r>
          </w:p>
        </w:tc>
      </w:tr>
      <w:tr>
        <w:tc>
          <w:tcPr>
            <w:tcW w:type="dxa" w:w="1500"/>
          </w:tcPr>
          <w:p>
            <w:r>
              <w:t xml:space="preserve">S3</w:t>
            </w:r>
          </w:p>
        </w:tc>
        <w:tc>
          <w:tcPr>
            <w:tcW w:type="dxa" w:w="1500"/>
          </w:tcPr>
          <w:p>
            <w:r>
              <w:t xml:space="preserve">The NAIC MCAS homeowners data call collects "Number Of Complaints Received Directly From Any Person or Entity Other than the [state insurance department]" as a company-level data element (element 3-54), but confidential at the company level and not published in the public scorecard as a rate</w:t>
            </w:r>
          </w:p>
        </w:tc>
        <w:tc>
          <w:tcPr>
            <w:tcW w:type="dxa" w:w="1500"/>
          </w:tcPr>
          <w:p>
            <w:r>
              <w:t xml:space="preserve">Data element exists; not published as a public ratio for the homeowners line</w:t>
            </w:r>
          </w:p>
        </w:tc>
        <w:tc>
          <w:tcPr>
            <w:tcW w:type="dxa" w:w="1500"/>
          </w:tcPr>
          <w:p>
            <w:r>
              <w:t xml:space="preserve">National Association of Insurance Commissioners, </w:t>
            </w:r>
            <w:hyperlink w:history="1" r:id="rId_a2rocuqxbe4qmmqmckll">
              <w:r>
                <w:rPr>
                  <w:rStyle w:val="Hyperlink"/>
                </w:rPr>
                <w:t xml:space="preserve">MCAS Data Call — Homeowners, version 2023.0.1</w:t>
              </w:r>
            </w:hyperlink>
            <w:r>
              <w:t xml:space="preserve"> (PDF)</w:t>
            </w:r>
          </w:p>
        </w:tc>
        <w:tc>
          <w:tcPr>
            <w:tcW w:type="dxa" w:w="1500"/>
          </w:tcPr>
          <w:p>
            <w:r>
              <w:t xml:space="preserve">2026-09-01</w:t>
            </w:r>
          </w:p>
        </w:tc>
        <w:tc>
          <w:tcPr>
            <w:tcW w:type="dxa" w:w="1500"/>
          </w:tcPr>
          <w:p>
            <w:r>
              <w:t xml:space="preserve">HIGH</w:t>
            </w:r>
          </w:p>
        </w:tc>
      </w:tr>
      <w:tr>
        <w:tc>
          <w:tcPr>
            <w:tcW w:type="dxa" w:w="1500"/>
          </w:tcPr>
          <w:p>
            <w:r>
              <w:t xml:space="preserve">S4</w:t>
            </w:r>
          </w:p>
        </w:tc>
        <w:tc>
          <w:tcPr>
            <w:tcW w:type="dxa" w:w="1500"/>
          </w:tcPr>
          <w:p>
            <w:r>
              <w:t xml:space="preserve">ISO Homeowners 3 ("HO3") policy form, Section I — Exclusions, "Water" heading: definition of flood used in the 2011 edition ("Flood, surface water, waves, including tidal wave and tsunami, tides, tidal water, overflow of any body of water, or spray from any of these, all whether or not driven by wind, including storm surge.")</w:t>
            </w:r>
          </w:p>
        </w:tc>
        <w:tc>
          <w:tcPr>
            <w:tcW w:type="dxa" w:w="1500"/>
          </w:tcPr>
          <w:p>
            <w:r>
              <w:t xml:space="preserve">Verbatim quoted clause text</w:t>
            </w:r>
          </w:p>
        </w:tc>
        <w:tc>
          <w:tcPr>
            <w:tcW w:type="dxa" w:w="1500"/>
          </w:tcPr>
          <w:p>
            <w:r>
              <w:t xml:space="preserve">Charles M. Miller, Esq. (Insurance Law Center), </w:t>
            </w:r>
            <w:hyperlink w:history="1" r:id="rId-r_kkx2xibnb6uajesoxx">
              <w:r>
                <w:rPr>
                  <w:rStyle w:val="Hyperlink"/>
                </w:rPr>
                <w:t xml:space="preserve">White Paper — ISO Changes Water Damage Exclusion in HO3</w:t>
              </w:r>
            </w:hyperlink>
            <w:r>
              <w:t xml:space="preserve"> (PDF, hosted by United Policyholders, a consumer-advocacy nonprofit; article discusses Hurricane Sandy, Oct. 2012, so written circa early 2013)</w:t>
            </w:r>
          </w:p>
        </w:tc>
        <w:tc>
          <w:tcPr>
            <w:tcW w:type="dxa" w:w="1500"/>
          </w:tcPr>
          <w:p>
            <w:r>
              <w:t xml:space="preserve">2026-09-01</w:t>
            </w:r>
          </w:p>
        </w:tc>
        <w:tc>
          <w:tcPr>
            <w:tcW w:type="dxa" w:w="1500"/>
          </w:tcPr>
          <w:p>
            <w:r>
              <w:t xml:space="preserve">HIGH</w:t>
            </w:r>
          </w:p>
        </w:tc>
      </w:tr>
      <w:tr>
        <w:tc>
          <w:tcPr>
            <w:tcW w:type="dxa" w:w="1500"/>
          </w:tcPr>
          <w:p>
            <w:r>
              <w:t xml:space="preserve">S5</w:t>
            </w:r>
          </w:p>
        </w:tc>
        <w:tc>
          <w:tcPr>
            <w:tcW w:type="dxa" w:w="1500"/>
          </w:tcPr>
          <w:p>
            <w:r>
              <w:t xml:space="preserve">Confirms the same "Water" exclusion category, under "Section I – Exclusions," still governs the current ISO HO 00 03 form (edition 03 22, © 2021)</w:t>
            </w:r>
          </w:p>
        </w:tc>
        <w:tc>
          <w:tcPr>
            <w:tcW w:type="dxa" w:w="1500"/>
          </w:tcPr>
          <w:p>
            <w:r>
              <w:t xml:space="preserve">Section placement confirmed for current edition</w:t>
            </w:r>
          </w:p>
        </w:tc>
        <w:tc>
          <w:tcPr>
            <w:tcW w:type="dxa" w:w="1500"/>
          </w:tcPr>
          <w:p>
            <w:r>
              <w:t xml:space="preserve">Property Insurance Coverage Law Blog / IRMI, </w:t>
            </w:r>
            <w:hyperlink w:history="1" r:id="rIdzh88zyaewvma1l5svxenw">
              <w:r>
                <w:rPr>
                  <w:rStyle w:val="Hyperlink"/>
                </w:rPr>
                <w:t xml:space="preserve">Homeowners Exception to Overflow of Water — Exclusion 2.c.(6)</w:t>
              </w:r>
            </w:hyperlink>
            <w:r>
              <w:t xml:space="preserve"> (PDF, cites "Insurance Services Office, Inc., Homeowners 3—Special Form (HO 00 03 03 22), © 2021")</w:t>
            </w:r>
          </w:p>
        </w:tc>
        <w:tc>
          <w:tcPr>
            <w:tcW w:type="dxa" w:w="1500"/>
          </w:tcPr>
          <w:p>
            <w:r>
              <w:t xml:space="preserve">2026-09-01</w:t>
            </w:r>
          </w:p>
        </w:tc>
        <w:tc>
          <w:tcPr>
            <w:tcW w:type="dxa" w:w="1500"/>
          </w:tcPr>
          <w:p>
            <w:r>
              <w:t xml:space="preserve">HIGH</w:t>
            </w:r>
          </w:p>
        </w:tc>
      </w:tr>
      <w:tr>
        <w:tc>
          <w:tcPr>
            <w:tcW w:type="dxa" w:w="1500"/>
          </w:tcPr>
          <w:p>
            <w:r>
              <w:t xml:space="preserve">S6</w:t>
            </w:r>
          </w:p>
        </w:tc>
        <w:tc>
          <w:tcPr>
            <w:tcW w:type="dxa" w:w="1500"/>
          </w:tcPr>
          <w:p>
            <w:r>
              <w:t xml:space="preserve">Verbatim anti-concurrent-causation lead-in sentence used by standard ISO homeowners exclusions ("We do not insure for loss caused directly or indirectly by any of the following. Such loss is excluded regardless of any other cause or event contributing concurrently or in any sequence to the loss.")</w:t>
            </w:r>
          </w:p>
        </w:tc>
        <w:tc>
          <w:tcPr>
            <w:tcW w:type="dxa" w:w="1500"/>
          </w:tcPr>
          <w:p>
            <w:r>
              <w:t xml:space="preserve">Verbatim quoted lead-in sentence</w:t>
            </w:r>
          </w:p>
        </w:tc>
        <w:tc>
          <w:tcPr>
            <w:tcW w:type="dxa" w:w="1500"/>
          </w:tcPr>
          <w:p>
            <w:r>
              <w:t xml:space="preserve">Property Insurance Coverage Law Blog, </w:t>
            </w:r>
            <w:hyperlink w:history="1" r:id="rId2ydyqca9g8jjvpd2udehu">
              <w:r>
                <w:rPr>
                  <w:rStyle w:val="Hyperlink"/>
                </w:rPr>
                <w:t xml:space="preserve">Anti-Concurrent Clause Enforced Where Loss Was Caused By Covered and Non-Covered Perils</w:t>
              </w:r>
            </w:hyperlink>
          </w:p>
        </w:tc>
        <w:tc>
          <w:tcPr>
            <w:tcW w:type="dxa" w:w="1500"/>
          </w:tcPr>
          <w:p>
            <w:r>
              <w:t xml:space="preserve">2026-09-01</w:t>
            </w:r>
          </w:p>
        </w:tc>
        <w:tc>
          <w:tcPr>
            <w:tcW w:type="dxa" w:w="1500"/>
          </w:tcPr>
          <w:p>
            <w:r>
              <w:t xml:space="preserve">MEDIUM</w:t>
            </w:r>
          </w:p>
        </w:tc>
      </w:tr>
      <w:tr>
        <w:tc>
          <w:tcPr>
            <w:tcW w:type="dxa" w:w="1500"/>
          </w:tcPr>
          <w:p>
            <w:r>
              <w:t xml:space="preserve">S7</w:t>
            </w:r>
          </w:p>
        </w:tc>
        <w:tc>
          <w:tcPr>
            <w:tcW w:type="dxa" w:w="1500"/>
          </w:tcPr>
          <w:p>
            <w:r>
              <w:rPr>
                <w:i/>
                <w:iCs/>
              </w:rPr>
              <w:t xml:space="preserve">Carver v. Lehman</w:t>
            </w:r>
            <w:r>
              <w:t xml:space="preserve">, No. 06-35176 (9th Cir., decided Dec. 22, 2008) is a real, published Ninth Circuit opinion; the Ninth Circuit's own case-library system keeps an archived subject file (a snapshot of Wikipedia's "Denying the antecedent" article, dated 2013-02-26) cross-referenced to this docket number</w:t>
            </w:r>
          </w:p>
        </w:tc>
        <w:tc>
          <w:tcPr>
            <w:tcW w:type="dxa" w:w="1500"/>
          </w:tcPr>
          <w:p>
            <w:r>
              <w:t xml:space="preserve">Real case, real docket number; real library cross-reference on file</w:t>
            </w:r>
          </w:p>
        </w:tc>
        <w:tc>
          <w:tcPr>
            <w:tcW w:type="dxa" w:w="1500"/>
          </w:tcPr>
          <w:p>
            <w:r>
              <w:t xml:space="preserve">United States Court of Appeals for the Ninth Circuit, </w:t>
            </w:r>
            <w:hyperlink w:history="1" r:id="rIdtnucv8jtrqth1kk3bon0r">
              <w:r>
                <w:rPr>
                  <w:rStyle w:val="Hyperlink"/>
                </w:rPr>
                <w:t xml:space="preserve">official opinion PDF</w:t>
              </w:r>
            </w:hyperlink>
            <w:r>
              <w:t xml:space="preserve"> (directly fetched and read in full: the opinion's own text does not itself use the phrase "denying the antecedent" or discuss the fallacy directly — it is a habeas/sentencing case about a Washington state early-release statute); library cross-reference: </w:t>
            </w:r>
            <w:hyperlink w:history="1" r:id="rId_eyhtws1bxk_4lw-r5bnd">
              <w:r>
                <w:rPr>
                  <w:rStyle w:val="Hyperlink"/>
                </w:rPr>
                <w:t xml:space="preserve">cdn.ca9.uscourts.gov library snapshot</w:t>
              </w:r>
            </w:hyperlink>
            <w:r>
              <w:t xml:space="preserve"> (also directly fetched: a captured copy of Wikipedia's "Denying the antecedent" article, filed by the court's own library system with a citation note to this case)</w:t>
            </w:r>
          </w:p>
        </w:tc>
        <w:tc>
          <w:tcPr>
            <w:tcW w:type="dxa" w:w="1500"/>
          </w:tcPr>
          <w:p>
            <w:r>
              <w:t xml:space="preserve">2026-09-01</w:t>
            </w:r>
          </w:p>
        </w:tc>
        <w:tc>
          <w:tcPr>
            <w:tcW w:type="dxa" w:w="1500"/>
          </w:tcPr>
          <w:p>
            <w:r>
              <w:t xml:space="preserve">MEDIUM — downgraded from an earlier HIGH grade after a direct re-fetch and full read of the opinion's own text found no discussion of the fallacy by name; used here only to establish that the case and the fallacy's formal name are both real, not that the opinion itself analyzes the fallacy.</w:t>
            </w:r>
          </w:p>
        </w:tc>
      </w:tr>
      <w:tr>
        <w:tc>
          <w:tcPr>
            <w:tcW w:type="dxa" w:w="1500"/>
          </w:tcPr>
          <w:p>
            <w:r>
              <w:t xml:space="preserve">S8</w:t>
            </w:r>
          </w:p>
        </w:tc>
        <w:tc>
          <w:tcPr>
            <w:tcW w:type="dxa" w:w="1500"/>
          </w:tcPr>
          <w:p>
            <w:r>
              <w:t xml:space="preserve">California Civil Jury Instructions (CACI) No. 2332, "Bad Faith (First Party) — Failure to Properly Investigate Claim — Essential Factual Elements," is a real, currently-published jury instruction</w:t>
            </w:r>
          </w:p>
        </w:tc>
        <w:tc>
          <w:tcPr>
            <w:tcW w:type="dxa" w:w="1500"/>
          </w:tcPr>
          <w:p>
            <w:r>
              <w:t xml:space="preserve">Real instruction, current title confirmed</w:t>
            </w:r>
          </w:p>
        </w:tc>
        <w:tc>
          <w:tcPr>
            <w:tcW w:type="dxa" w:w="1500"/>
          </w:tcPr>
          <w:p>
            <w:r>
              <w:t xml:space="preserve">Judicial Council of California, </w:t>
            </w:r>
            <w:hyperlink w:history="1" r:id="rId5np3dy6oz3mntxo2ajug-">
              <w:r>
                <w:rPr>
                  <w:rStyle w:val="Hyperlink"/>
                </w:rPr>
                <w:t xml:space="preserve">Civil Jury Instructions (CACI) resource center</w:t>
              </w:r>
            </w:hyperlink>
            <w:r>
              <w:t xml:space="preserve"> (official landing page, links to the current 2026 Edition compiled PDF, adopted December 2025)</w:t>
            </w:r>
          </w:p>
        </w:tc>
        <w:tc>
          <w:tcPr>
            <w:tcW w:type="dxa" w:w="1500"/>
          </w:tcPr>
          <w:p>
            <w:r>
              <w:t xml:space="preserve">2026-09-01</w:t>
            </w:r>
          </w:p>
        </w:tc>
        <w:tc>
          <w:tcPr>
            <w:tcW w:type="dxa" w:w="1500"/>
          </w:tcPr>
          <w:p>
            <w:r>
              <w:t xml:space="preserve">HIGH</w:t>
            </w:r>
          </w:p>
        </w:tc>
      </w:tr>
      <w:tr>
        <w:tc>
          <w:tcPr>
            <w:tcW w:type="dxa" w:w="1500"/>
          </w:tcPr>
          <w:p>
            <w:r>
              <w:t xml:space="preserve">S9</w:t>
            </w:r>
          </w:p>
        </w:tc>
        <w:tc>
          <w:tcPr>
            <w:tcW w:type="dxa" w:w="1500"/>
          </w:tcPr>
          <w:p>
            <w:r>
              <w:rPr>
                <w:i/>
                <w:iCs/>
              </w:rPr>
              <w:t xml:space="preserve">Hangarter v. Provident Life and Accident Insurance Co.</w:t>
            </w:r>
            <w:r>
              <w:t xml:space="preserve">, 373 F.3d 998 (9th Cir. 2004), is a real, published Ninth Circuit bad-faith insurance decision</w:t>
            </w:r>
          </w:p>
        </w:tc>
        <w:tc>
          <w:tcPr>
            <w:tcW w:type="dxa" w:w="1500"/>
          </w:tcPr>
          <w:p>
            <w:r>
              <w:t xml:space="preserve">Real case, real citation</w:t>
            </w:r>
          </w:p>
        </w:tc>
        <w:tc>
          <w:tcPr>
            <w:tcW w:type="dxa" w:w="1500"/>
          </w:tcPr>
          <w:p>
            <w:hyperlink w:history="1" r:id="rIdaxbqmj-rpuows8cgwpnte">
              <w:r>
                <w:rPr>
                  <w:rStyle w:val="Hyperlink"/>
                </w:rPr>
                <w:t xml:space="preserve">Wikipedia — Hangarter v. Provident</w:t>
              </w:r>
            </w:hyperlink>
            <w:r>
              <w:t xml:space="preserve">, confirming full case name, citation (373 F.3d 998), court, and decision date (June 25, 2004); underlying opinion also indexed at Justia and OpenJurist, both of which returned bot-blocked (HTTP 403) on direct automated fetch during verification</w:t>
            </w:r>
          </w:p>
        </w:tc>
        <w:tc>
          <w:tcPr>
            <w:tcW w:type="dxa" w:w="1500"/>
          </w:tcPr>
          <w:p>
            <w:r>
              <w:t xml:space="preserve">2026-09-01</w:t>
            </w:r>
          </w:p>
        </w:tc>
        <w:tc>
          <w:tcPr>
            <w:tcW w:type="dxa" w:w="1500"/>
          </w:tcPr>
          <w:p>
            <w:r>
              <w:t xml:space="preserve">HIGH</w:t>
            </w:r>
          </w:p>
        </w:tc>
      </w:tr>
    </w:tbl>
    <w:p/>
    <w:p>
      <w:r>
        <w:rPr>
          <w:b/>
          <w:bCs/>
        </w:rPr>
        <w:t xml:space="preserve">Rejected anchor.</w:t>
      </w:r>
      <w:r>
        <w:t xml:space="preserve"> Appendix C's original draft asked for a NAIC MCAS "complaints per 1,000 homeowners policies in force" figure and a "complaints-to-claims-opened" ratio, most recent published vintage. A genuine search — two distinct search framings, a direct fetch of NAIC's MCAS Homeowners Insurance Report and its underlying national market-dynamics report, and a direct download and parse of the actual 2024 homeowners MCAS scorecard file (XLSX) — confirms these two specific complaint-rate figures are not published for the homeowners line: MCAS collects a raw complaint count as a confidential company-level data element (S3), but the public homeowners scorecard's seven published ratios cover claims-handling outcomes (claims closed without payment, unprocessed claims, late-paid claims, non-renewals, cancellations, and suits opened) rather than a complaint rate. Appendix C was redesigned to report two of those seven ratios instead (S2) — real, dated, and more directly relevant to claims-handling disputes than a complaint count would have been. See </w:t>
      </w:r>
      <w:r>
        <w:rPr>
          <w:rFonts w:ascii="Courier New" w:cs="Courier New" w:eastAsia="Courier New" w:hAnsi="Courier New"/>
        </w:rPr>
        <w:t xml:space="preserve">RESEARCH_LOG.md</w:t>
      </w:r>
      <w:r>
        <w:t xml:space="preserve"> for the full search trail.</w:t>
      </w:r>
    </w:p>
    <w:p>
      <w:r>
        <w:t xml:space="preserve">Referenced from Appendix A, Appendix C, Appendix D, Appendix F.</w:t>
      </w:r>
    </w:p>
    <w:p>
      <w:pPr>
        <w:pStyle w:val="Heading2"/>
        <w:spacing w:after="120" w:before="240"/>
      </w:pPr>
      <w:r>
        <w:t xml:space="preserve">Appendix H — "How To…" Math Questions To Research</w:t>
      </w:r>
    </w:p>
    <w:p>
      <w:r>
        <w:rPr>
          <w:b/>
          <w:bCs/>
        </w:rPr>
        <w:t xml:space="preserve">Vocabulary terms</w:t>
      </w:r>
    </w:p>
    <w:p>
      <w:pPr>
        <w:ind w:left="360"/>
      </w:pPr>
      <w:r>
        <w:t xml:space="preserve">- Conjunction</w:t>
      </w:r>
    </w:p>
    <w:p>
      <w:pPr>
        <w:ind w:left="360"/>
      </w:pPr>
      <w:r>
        <w:t xml:space="preserve">- Disjunction</w:t>
      </w:r>
    </w:p>
    <w:p>
      <w:pPr>
        <w:ind w:left="360"/>
      </w:pPr>
      <w:r>
        <w:t xml:space="preserve">- Negation</w:t>
      </w:r>
    </w:p>
    <w:p>
      <w:pPr>
        <w:ind w:left="360"/>
      </w:pPr>
      <w:r>
        <w:t xml:space="preserve">- Conditional Statement</w:t>
      </w:r>
    </w:p>
    <w:p>
      <w:pPr>
        <w:ind w:left="360"/>
      </w:pPr>
      <w:r>
        <w:t xml:space="preserve">- Truth Table</w:t>
      </w:r>
    </w:p>
    <w:p>
      <w:r>
        <w:rPr>
          <w:b/>
          <w:bCs/>
        </w:rPr>
        <w:t xml:space="preserve">"How to…" questions</w:t>
      </w:r>
    </w:p>
    <w:p>
      <w:pPr>
        <w:ind w:left="360"/>
      </w:pPr>
      <w:r>
        <w:t xml:space="preserve">- How to construct a truth table for a compound statement</w:t>
      </w:r>
    </w:p>
    <w:p>
      <w:pPr>
        <w:ind w:left="360"/>
      </w:pPr>
      <w:r>
        <w:t xml:space="preserve">- How to determine the converse, inverse, and contrapositive of a conditional statement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jsgg1ikivxxony_-23m8n" Type="http://schemas.openxmlformats.org/officeDocument/2006/relationships/hyperlink" Target="https://www.insurance.ca.gov/01-consumers/120-company/03-concmplt/upload/2025-Consumer-Complaint-Study-Home.pdf" TargetMode="External"/><Relationship Id="rIdctcsdct7ikz-ndbor-llb" Type="http://schemas.openxmlformats.org/officeDocument/2006/relationships/hyperlink" Target="https://content.naic.org/sites/default/files/inline-files/industry_mcas_2024_scorecard_ho_all-no%20Citizens%20FL_0.xlsx" TargetMode="External"/><Relationship Id="rIdtmt7c0tfi7qmxirsza0is" Type="http://schemas.openxmlformats.org/officeDocument/2006/relationships/hyperlink" Target="https://content.naic.org/mcas_data_dashboard.htm" TargetMode="External"/><Relationship Id="rIdnj-s7ygn6t0izllupbb99" Type="http://schemas.openxmlformats.org/officeDocument/2006/relationships/hyperlink" Target="https://content.naic.org/industry/mcas/homeowners-insurance-report" TargetMode="External"/><Relationship Id="rId_a2rocuqxbe4qmmqmckll" Type="http://schemas.openxmlformats.org/officeDocument/2006/relationships/hyperlink" Target="https://content.naic.org/sites/default/files/inline-files/MCAS%20Data%20Call%20HO%202023.0.1.pdf" TargetMode="External"/><Relationship Id="rId-r_kkx2xibnb6uajesoxx" Type="http://schemas.openxmlformats.org/officeDocument/2006/relationships/hyperlink" Target="https://uphelp.org/wp-content/uploads/2014/02/ISO-CHANGES-WATER-DAMAGE-EXCLUSION-IN-HO3.pdf" TargetMode="External"/><Relationship Id="rIdzh88zyaewvma1l5svxenw" Type="http://schemas.openxmlformats.org/officeDocument/2006/relationships/hyperlink" Target="https://www.propertyinsurancecoveragelaw.com/wp-content/uploads/2024/11/Homeowners-Exception-to-Overflow-of-Water-Exclusion-2.c.6.pdf" TargetMode="External"/><Relationship Id="rId2ydyqca9g8jjvpd2udehu" Type="http://schemas.openxmlformats.org/officeDocument/2006/relationships/hyperlink" Target="https://www.propertyinsurancecoveragelaw.com/blog/anti-concurrent-clause-enforced-where-loss-was-caused-by-covered-and-non-covered-perils/" TargetMode="External"/><Relationship Id="rIdtnucv8jtrqth1kk3bon0r" Type="http://schemas.openxmlformats.org/officeDocument/2006/relationships/hyperlink" Target="https://cdn.ca9.uscourts.gov/datastore/opinions/2008/12/22/0635176.pdf" TargetMode="External"/><Relationship Id="rId_eyhtws1bxk_4lw-r5bnd" Type="http://schemas.openxmlformats.org/officeDocument/2006/relationships/hyperlink" Target="https://cdn.ca9.uscourts.gov/datastore/library/2013/02/26/Carver_antecedent.pdf" TargetMode="External"/><Relationship Id="rId5np3dy6oz3mntxo2ajug-" Type="http://schemas.openxmlformats.org/officeDocument/2006/relationships/hyperlink" Target="https://courts.ca.gov/partners/california-jury-instructions/civil-jury-instructions-resource-center/civil-jury-instructions" TargetMode="External"/><Relationship Id="rIdaxbqmj-rpuows8cgwpnte" Type="http://schemas.openxmlformats.org/officeDocument/2006/relationships/hyperlink" Target="https://en.wikipedia.org/wiki/Hangarter_v._Provident" TargetMode="Externa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2026-09-01T20:29:17.528Z</dcterms:created>
  <dcterms:modified xsi:type="dcterms:W3CDTF">2026-09-01T20:29:17.532Z</dcterms:modified>
</cp:coreProperties>
</file>

<file path=docProps/custom.xml><?xml version="1.0" encoding="utf-8"?>
<Properties xmlns="http://schemas.openxmlformats.org/officeDocument/2006/custom-properties" xmlns:vt="http://schemas.openxmlformats.org/officeDocument/2006/docPropsVTypes"/>
</file>