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Dosing Curve</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Dosing Curve</w:t>
      </w:r>
    </w:p>
    <w:p>
      <w:r>
        <w:rPr>
          <w:b/>
          <w:bCs/>
        </w:rPr>
        <w:t xml:space="preserve">Case:</w:t>
      </w:r>
      <w:r>
        <w:t xml:space="preserve"> The Dosing Curve · </w:t>
      </w:r>
      <w:r>
        <w:rPr>
          <w:b/>
          <w:bCs/>
        </w:rPr>
        <w:t xml:space="preserve">Tier:</w:t>
      </w:r>
      <w:r>
        <w:t xml:space="preserve"> T2 (MS-core) · </w:t>
      </w:r>
      <w:r>
        <w:rPr>
          <w:b/>
          <w:bCs/>
        </w:rPr>
        <w:t xml:space="preserve">Studio:</w:t>
      </w:r>
      <w:r>
        <w:t xml:space="preserve"> Adventure </w:t>
      </w:r>
      <w:r>
        <w:rPr>
          <w:b/>
          <w:bCs/>
        </w:rPr>
        <w:t xml:space="preserve">Standards:</w:t>
      </w:r>
      <w:r>
        <w:t xml:space="preserve"> Calculus/Integrals — Antiderivative, Definite Integral, Indefinite Integral, Riemann Sum / How to find an antiderivative using the power rule, How to evaluate a definite integral using the Fundamental Theorem of Calculus, How to approximate area under a curve using a Riemann sum (see </w:t>
      </w:r>
      <w:r>
        <w:rPr>
          <w:rFonts w:ascii="Courier New" w:cs="Courier New" w:eastAsia="Courier New" w:hAnsi="Courier New"/>
        </w:rPr>
        <w:t xml:space="preserve">case.json.standards[]</w:t>
      </w:r>
      <w:r>
        <w:t xml:space="preserve"> for exact ids; this is a reinforcement case, not a new-skill-coverage case — see </w:t>
      </w:r>
      <w:r>
        <w:rPr>
          <w:rFonts w:ascii="Courier New" w:cs="Courier New" w:eastAsia="Courier New" w:hAnsi="Courier New"/>
        </w:rPr>
        <w:t xml:space="preserve">case.json.reinforcement_note</w:t>
      </w:r>
      <w:r>
        <w:t xml:space="preserve">).</w:t>
      </w:r>
    </w:p>
    <w:p>
      <w:r>
        <w:rPr>
          <w:b/>
          <w:bCs/>
        </w:rPr>
        <w:t xml:space="preserve">Researched 2026-08-31; cost tie-breaker retuned 2026-09-01 (case-qa stage); primary PK/PD gate restructured 2026-09-01 (case-readiness stage) into an explicit, computable convention-sensitivity table — D5/Appendix G, see "The margin" below.</w:t>
      </w:r>
      <w:r>
        <w:t xml:space="preserve"> All 30 </w:t>
      </w:r>
      <w:r>
        <w:rPr>
          <w:rFonts w:ascii="Courier New" w:cs="Courier New" w:eastAsia="Courier New" w:hAnsi="Courier New"/>
        </w:rPr>
        <w:t xml:space="preserve">{{NEEDS_SOURCE}}</w:t>
      </w:r>
      <w:r>
        <w:t xml:space="preserve"> placeholders resolved: 28 SOURCED (real, cited figures — see </w:t>
      </w:r>
      <w:r>
        <w:rPr>
          <w:rFonts w:ascii="Courier New" w:cs="Courier New" w:eastAsia="Courier New" w:hAnsi="Courier New"/>
        </w:rPr>
        <w:t xml:space="preserve">case.json.sources[]</w:t>
      </w:r>
      <w:r>
        <w:t xml:space="preserve"> and </w:t>
      </w:r>
      <w:r>
        <w:rPr>
          <w:rFonts w:ascii="Courier New" w:cs="Courier New" w:eastAsia="Courier New" w:hAnsi="Courier New"/>
        </w:rPr>
        <w:t xml:space="preserve">RESEARCH_LOG.md</w:t>
      </w:r>
      <w:r>
        <w:t xml:space="preserve">), 2 ASSUMPTION (Appendix B's reconstructed concentration-time curve, MA1; the operation's per-head budget cap, MA5 — both anticipated by the original concept research). </w:t>
      </w:r>
      <w:r>
        <w:rPr>
          <w:rFonts w:ascii="Courier New" w:cs="Courier New" w:eastAsia="Courier New" w:hAnsi="Courier New"/>
        </w:rPr>
        <w:t xml:space="preserve">margin_pct = 13.9</w:t>
      </w:r>
      <w:r>
        <w:t xml:space="preserve"> (retuned from an initial 29.7%, which exceeded SPEC §2's ~20% balance-test cap — see the margin section below), winning option </w:t>
      </w:r>
      <w:r>
        <w:rPr>
          <w:b/>
          <w:bCs/>
        </w:rPr>
        <w:t xml:space="preserve">B (The Four-Day Course)</w:t>
      </w:r>
      <w:r>
        <w:t xml:space="preserve"> on cost. The primary fAUC/MIC gate is genuinely convention-sensitive — neither option clears it under every real combination of dosing point, MIC benchmark, and window convention — so the cost margin is reported as a real number regardless, not gated on a forced single verdict on the primary axis.</w:t>
      </w:r>
    </w:p>
    <w:p>
      <w:r>
        <w:rPr>
          <w:b/>
          <w:bCs/>
        </w:rPr>
        <w:t xml:space="preserve">Sensitivity flag (SPEC §6): LOW, not none.</w:t>
      </w:r>
      <w:r>
        <w:t xml:space="preserve"> This is a livestock/veterinary antimicrobial-dosing scenario, not a human-patient one — the safer register per SPEC's own guidance. Facilitators should keep the discussion in a routine, professional antimicrobial-stewardship register (protocol compliance, published efficacy thresholds, cost, real handling-cost data) and should </w:t>
      </w:r>
      <w:r>
        <w:rPr>
          <w:b/>
          <w:bCs/>
        </w:rPr>
        <w:t xml:space="preserve">not</w:t>
      </w:r>
      <w:r>
        <w:t xml:space="preserve"> depict animal suffering, disease progression, or death, and should avoid framing that reads as a human-antibiotic-resistance alarmism piece — the real subject is a routine, well-regulated veterinary dosing decision, not a public-health crisis.</w:t>
      </w:r>
    </w:p>
    <w:p>
      <w:pPr>
        <w:pStyle w:val="Heading2"/>
        <w:spacing w:after="120" w:before="240"/>
      </w:pPr>
      <w:r>
        <w:t xml:space="preserve">Argument for A — The Single Shot (long-acting, single injection)</w:t>
      </w:r>
    </w:p>
    <w:p>
      <w:r>
        <w:t xml:space="preserve">The long-acting formulation's much longer half-life means its concentration curve never has a chance to sag between doses, because there is only one dose — its computed AUC over the full treatment window is a single, continuous definite integral with no gaps to worry about, and no dosing-point or window-convention choice to argue about (see D5/Appendix G). Its AUC0-24h (39.1 μg·h/mL) clears the calves fAUC/MIC target (24) under every real convention, and misses only the CLSI/adult-cattle target (48) — a target the Four-Day Course also misses in every one of its own cells. That structural safety margin is the strongest case for A: fewer handling events (lower cumulative injection-site-lesion cost exposure per Appendix E, and less labor), and a fAUC/MIC result that does not move no matter which dosing point or window convention a reviewer picks. The trade-off it accepts is a higher per-dose price and, per the real published comparative literature summarized in the concept research, measurably more tissue damage </w:t>
      </w:r>
      <w:r>
        <w:rPr>
          <w:i/>
          <w:iCs/>
        </w:rPr>
        <w:t xml:space="preserve">per injection event</w:t>
      </w:r>
      <w:r>
        <w:t xml:space="preserve"> than the conventional formulation causes per event — a cost the case should have the student weigh against A's fewer total events, not ignore.</w:t>
      </w:r>
    </w:p>
    <w:p>
      <w:pPr>
        <w:pStyle w:val="Heading2"/>
        <w:spacing w:after="120" w:before="240"/>
      </w:pPr>
      <w:r>
        <w:t xml:space="preserve">Argument for B — The Four-Day Course (conventional, repeated dosing)</w:t>
      </w:r>
    </w:p>
    <w:p>
      <w:r>
        <w:t xml:space="preserve">The conventional formulation is cheaper per dose and causes less tissue damage per individual injection. Once Appendix B's modeled curve is correctly rescaled off its 20 mg/kg study dose down to the label's real 3–5 mg/lb/day rate (D5/Appendix G), its AUC0-24h clears the calves fAUC/MIC target (24) in 3 of the 4 real dose/window combinations — failing only at the label's low end (3 mg/lb/day) judged on the strictest, day-1-only window (21.4 &lt; 24). B is the lower-total-cost option on drug price regardless of how the efficacy gate lands — but only once its larger number of handling events is priced against Appendix E's per-event lesion-cost data, not against drug cost alone. B's real structural risk, and the reason this case cannot be resolved by comparing single-dose AUC totals, is that its shorter half-life means concentration could plausibly dip toward (or below) the MIC-derived breakpoint in the gap between two doses at the low end of its labeled range, even while a higher dosing point or the accumulated course-total reading clears the target — that gap-level, convention-dependent behavior is exactly what D5's table is built to make visible.</w:t>
      </w:r>
    </w:p>
    <w:p>
      <w:pPr>
        <w:pStyle w:val="Heading2"/>
        <w:spacing w:after="120" w:before="240"/>
      </w:pPr>
      <w:r>
        <w:t xml:space="preserve">The margin</w:t>
      </w:r>
    </w:p>
    <w:p>
      <w:r>
        <w:rPr>
          <w:b/>
          <w:bCs/>
        </w:rPr>
        <w:t xml:space="preserve">`margin_pct = 13.9` (retuned from an initial 29.7%), Option B (Four-Day Course) wins on cost.</w:t>
      </w:r>
      <w:r>
        <w:t xml:space="preserve"> The cost tie-breaker is resolved cleanly (see (2) below). The primary PK/PD gate is </w:t>
      </w:r>
      <w:r>
        <w:rPr>
          <w:b/>
          <w:bCs/>
        </w:rPr>
        <w:t xml:space="preserve">not</w:t>
      </w:r>
      <w:r>
        <w:t xml:space="preserve"> resolved to a single verdict — it is restructured into an explicit, computable convention-sensitivity table (D5/Appendix G) that the student builds and interprets. See both findings below.</w:t>
      </w:r>
    </w:p>
    <w:p>
      <w:r>
        <w:rPr>
          <w:b/>
          <w:bCs/>
        </w:rPr>
        <w:t xml:space="preserve">(1) The primary gate — fAUC/MIC pass/fail — RESTRUCTURED 2026-09-01 (case-readiness stage) into D5's convention-sensitivity table, not resolved to one verdict.</w:t>
      </w:r>
      <w:r>
        <w:t xml:space="preserve"> Case-research (see </w:t>
      </w:r>
      <w:r>
        <w:rPr>
          <w:rFonts w:ascii="Courier New" w:cs="Courier New" w:eastAsia="Courier New" w:hAnsi="Courier New"/>
        </w:rPr>
        <w:t xml:space="preserve">RESEARCH_LOG.md</w:t>
      </w:r>
      <w:r>
        <w:t xml:space="preserve">) had already identified three genuinely disputed choices the real cited literature does not settle for this exact dose/interval combination: (a) which point in the conventional label's 3-5 mg/lb/day range [S5] is used, (b) whether the CLSI clinical breakpoint (≤2 mg/L) [S3] or Winter et al.'s PK/PD cutoff (1 mg/L calves / 2 mg/L adults) [S2] is used as the MIC denominator, and (c) whether pass/fail is judged on the first day's AUC alone or the accumulated course-total AUC once MA2's multi-dose superposition is applied. An earlier case-readiness pass tried to resolve this to a single verdict by (i) reading 64.7 μg·h/mL directly off Appendix B's modeled curve for the Four-Day Course without rescaling it off the curve's underlying 20 mg/kg (~9.07 mg/lb) study dose down to the label's actual 3-5 mg/lb/day rate, and (ii) treating the calves MIC benchmark as case-dictated rather than carrying both real benchmarks forward. Both of those moves are corrected here.</w:t>
      </w:r>
    </w:p>
    <w:p>
      <w:r>
        <w:rPr>
          <w:b/>
          <w:bCs/>
        </w:rPr>
        <w:t xml:space="preserve">The corrected table</w:t>
      </w:r>
      <w:r>
        <w:t xml:space="preserve"> (real numbers, full derivation in </w:t>
      </w:r>
      <w:r>
        <w:rPr>
          <w:rFonts w:ascii="Courier New" w:cs="Courier New" w:eastAsia="Courier New" w:hAnsi="Courier New"/>
        </w:rPr>
        <w:t xml:space="preserve">case.json.derived.primary_gate_resolution</w:t>
      </w:r>
      <w:r>
        <w:t xml:space="preserve"> and Appendix 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Dose (conventional)</w:t>
            </w:r>
          </w:p>
        </w:tc>
        <w:tc>
          <w:tcPr>
            <w:tcW w:type="dxa" w:w="1800"/>
            <w:shd w:fill="DDDDDD" w:val="clear"/>
          </w:tcPr>
          <w:p>
            <w:r>
              <w:t xml:space="preserve">Window</w:t>
            </w:r>
          </w:p>
        </w:tc>
        <w:tc>
          <w:tcPr>
            <w:tcW w:type="dxa" w:w="1800"/>
            <w:shd w:fill="DDDDDD" w:val="clear"/>
          </w:tcPr>
          <w:p>
            <w:r>
              <w:t xml:space="preserve">AUC0-24h (μg·h/mL)</w:t>
            </w:r>
          </w:p>
        </w:tc>
        <w:tc>
          <w:tcPr>
            <w:tcW w:type="dxa" w:w="1800"/>
            <w:shd w:fill="DDDDDD" w:val="clear"/>
          </w:tcPr>
          <w:p>
            <w:r>
              <w:t xml:space="preserve">vs. calves target (24)</w:t>
            </w:r>
          </w:p>
        </w:tc>
        <w:tc>
          <w:tcPr>
            <w:tcW w:type="dxa" w:w="1800"/>
            <w:shd w:fill="DDDDDD" w:val="clear"/>
          </w:tcPr>
          <w:p>
            <w:r>
              <w:t xml:space="preserve">vs. CLSI/adult-cattle target (48)</w:t>
            </w:r>
          </w:p>
        </w:tc>
      </w:tr>
      <w:tr>
        <w:tc>
          <w:tcPr>
            <w:tcW w:type="dxa" w:w="1800"/>
          </w:tcPr>
          <w:p>
            <w:r>
              <w:t xml:space="preserve">3 mg/lb/day (label low end)</w:t>
            </w:r>
          </w:p>
        </w:tc>
        <w:tc>
          <w:tcPr>
            <w:tcW w:type="dxa" w:w="1800"/>
          </w:tcPr>
          <w:p>
            <w:r>
              <w:t xml:space="preserve">Day-1-only</w:t>
            </w:r>
          </w:p>
        </w:tc>
        <w:tc>
          <w:tcPr>
            <w:tcW w:type="dxa" w:w="1800"/>
          </w:tcPr>
          <w:p>
            <w:r>
              <w:t xml:space="preserve">21.4</w:t>
            </w:r>
          </w:p>
        </w:tc>
        <w:tc>
          <w:tcPr>
            <w:tcW w:type="dxa" w:w="1800"/>
          </w:tcPr>
          <w:p>
            <w:r>
              <w:rPr>
                <w:b/>
                <w:bCs/>
              </w:rPr>
              <w:t xml:space="preserve">FAIL</w:t>
            </w:r>
          </w:p>
        </w:tc>
        <w:tc>
          <w:tcPr>
            <w:tcW w:type="dxa" w:w="1800"/>
          </w:tcPr>
          <w:p>
            <w:r>
              <w:t xml:space="preserve">FAIL</w:t>
            </w:r>
          </w:p>
        </w:tc>
      </w:tr>
      <w:tr>
        <w:tc>
          <w:tcPr>
            <w:tcW w:type="dxa" w:w="1800"/>
          </w:tcPr>
          <w:p>
            <w:r>
              <w:t xml:space="preserve">3 mg/lb/day</w:t>
            </w:r>
          </w:p>
        </w:tc>
        <w:tc>
          <w:tcPr>
            <w:tcW w:type="dxa" w:w="1800"/>
          </w:tcPr>
          <w:p>
            <w:r>
              <w:t xml:space="preserve">Course-cumulative</w:t>
            </w:r>
          </w:p>
        </w:tc>
        <w:tc>
          <w:tcPr>
            <w:tcW w:type="dxa" w:w="1800"/>
          </w:tcPr>
          <w:p>
            <w:r>
              <w:t xml:space="preserve">26.9</w:t>
            </w:r>
          </w:p>
        </w:tc>
        <w:tc>
          <w:tcPr>
            <w:tcW w:type="dxa" w:w="1800"/>
          </w:tcPr>
          <w:p>
            <w:r>
              <w:t xml:space="preserve">PASS</w:t>
            </w:r>
          </w:p>
        </w:tc>
        <w:tc>
          <w:tcPr>
            <w:tcW w:type="dxa" w:w="1800"/>
          </w:tcPr>
          <w:p>
            <w:r>
              <w:t xml:space="preserve">FAIL</w:t>
            </w:r>
          </w:p>
        </w:tc>
      </w:tr>
      <w:tr>
        <w:tc>
          <w:tcPr>
            <w:tcW w:type="dxa" w:w="1800"/>
          </w:tcPr>
          <w:p>
            <w:r>
              <w:t xml:space="preserve">5 mg/lb/day (label high end)</w:t>
            </w:r>
          </w:p>
        </w:tc>
        <w:tc>
          <w:tcPr>
            <w:tcW w:type="dxa" w:w="1800"/>
          </w:tcPr>
          <w:p>
            <w:r>
              <w:t xml:space="preserve">Day-1-only</w:t>
            </w:r>
          </w:p>
        </w:tc>
        <w:tc>
          <w:tcPr>
            <w:tcW w:type="dxa" w:w="1800"/>
          </w:tcPr>
          <w:p>
            <w:r>
              <w:t xml:space="preserve">35.7</w:t>
            </w:r>
          </w:p>
        </w:tc>
        <w:tc>
          <w:tcPr>
            <w:tcW w:type="dxa" w:w="1800"/>
          </w:tcPr>
          <w:p>
            <w:r>
              <w:t xml:space="preserve">PASS</w:t>
            </w:r>
          </w:p>
        </w:tc>
        <w:tc>
          <w:tcPr>
            <w:tcW w:type="dxa" w:w="1800"/>
          </w:tcPr>
          <w:p>
            <w:r>
              <w:t xml:space="preserve">FAIL</w:t>
            </w:r>
          </w:p>
        </w:tc>
      </w:tr>
      <w:tr>
        <w:tc>
          <w:tcPr>
            <w:tcW w:type="dxa" w:w="1800"/>
          </w:tcPr>
          <w:p>
            <w:r>
              <w:t xml:space="preserve">5 mg/lb/day</w:t>
            </w:r>
          </w:p>
        </w:tc>
        <w:tc>
          <w:tcPr>
            <w:tcW w:type="dxa" w:w="1800"/>
          </w:tcPr>
          <w:p>
            <w:r>
              <w:t xml:space="preserve">Course-cumulative</w:t>
            </w:r>
          </w:p>
        </w:tc>
        <w:tc>
          <w:tcPr>
            <w:tcW w:type="dxa" w:w="1800"/>
          </w:tcPr>
          <w:p>
            <w:r>
              <w:t xml:space="preserve">44.8</w:t>
            </w:r>
          </w:p>
        </w:tc>
        <w:tc>
          <w:tcPr>
            <w:tcW w:type="dxa" w:w="1800"/>
          </w:tcPr>
          <w:p>
            <w:r>
              <w:t xml:space="preserve">PASS</w:t>
            </w:r>
          </w:p>
        </w:tc>
        <w:tc>
          <w:tcPr>
            <w:tcW w:type="dxa" w:w="1800"/>
          </w:tcPr>
          <w:p>
            <w:r>
              <w:t xml:space="preserve">FAIL (close: 44.8 vs. 48)</w:t>
            </w:r>
          </w:p>
        </w:tc>
      </w:tr>
    </w:tbl>
    <w:p/>
    <w:p>
      <w:r>
        <w:t xml:space="preserve">The Single Shot needs no rescaling (its 9 mg/lb label dose [S4] already ≈ the 9.07 mg/lb study dose) and has no window choice (one continuous injection): AUC0-24h = </w:t>
      </w:r>
      <w:r>
        <w:rPr>
          <w:b/>
          <w:bCs/>
        </w:rPr>
        <w:t xml:space="preserve">39.1 μg·h/mL</w:t>
      </w:r>
      <w:r>
        <w:t xml:space="preserve"> — PASSES the calves target (≥24), FAILS the CLSI/adult-cattle target (&lt;48).</w:t>
      </w:r>
    </w:p>
    <w:p>
      <w:r>
        <w:rPr>
          <w:b/>
          <w:bCs/>
        </w:rPr>
        <w:t xml:space="preserve">What the table shows:</w:t>
      </w:r>
      <w:r>
        <w:t xml:space="preserve"> the MIC-benchmark choice is the dominant swing factor — under CLSI/adult-cattle (48), </w:t>
      </w:r>
      <w:r>
        <w:rPr>
          <w:i/>
          <w:iCs/>
        </w:rPr>
        <w:t xml:space="preserve">both options fail in every cell</w:t>
      </w:r>
      <w:r>
        <w:t xml:space="preserve">, regardless of dosing point or window. Under the calves benchmark (24) — the benchmark that matches this case's own stated stocker/feeder-calf population, though a Hero could reasonably still name the CLSI breakpoint as a </w:t>
      </w:r>
      <w:r>
        <w:rPr>
          <w:i/>
          <w:iCs/>
        </w:rPr>
        <w:t xml:space="preserve">population-independent</w:t>
      </w:r>
      <w:r>
        <w:t xml:space="preserve"> clinical standard worth citing too — the Single Shot always passes, while the Four-Day Course's pass/fail flips depending on which end of its labeled range is dosed and which window convention is applied, failing only at the low end under the strictest test. Reasonable experts could land in different cells here: a regulator auditing worst-case exposure might insist on the day-1-only window and the CLSI breakpoint (both options fail); a clinician citing the case's own stated calf population and the standard multi-dose accumulation model might call both options a pass at the label's high end. </w:t>
      </w:r>
      <w:r>
        <w:rPr>
          <w:b/>
          <w:bCs/>
        </w:rPr>
        <w:t xml:space="preserve">Neither reading is fabricated — both use only real, cited numbers — and that is the point of D5.</w:t>
      </w:r>
    </w:p>
    <w:p>
      <w:r>
        <w:rPr>
          <w:b/>
          <w:bCs/>
        </w:rPr>
        <w:t xml:space="preserve">What a strong D5 submission looks like:</w:t>
      </w:r>
      <w:r>
        <w:t xml:space="preserve"> builds all 4 (or all 8, if also comparing the Single Shot's 2 MIC rows) real cells correctly, using D1/D2's own AUC methods rescaled to each cell's dosing rate; states plainly which cells pass and which fail for each option; and explicitly names </w:t>
      </w:r>
      <w:r>
        <w:rPr>
          <w:i/>
          <w:iCs/>
        </w:rPr>
        <w:t xml:space="preserve">which</w:t>
      </w:r>
      <w:r>
        <w:t xml:space="preserve"> convention it is defending and why — not "it depends," but "I would defend the label's high end (5 mg/lb/day) and the calves benchmark, because [reason tied to the case's stated population or a stated risk tolerance]," while acknowledging the cells where its own chosen option fails.</w:t>
      </w:r>
    </w:p>
    <w:p>
      <w:r>
        <w:rPr>
          <w:b/>
          <w:bCs/>
        </w:rPr>
        <w:t xml:space="preserve">What a weak D5 submission looks like:</w:t>
      </w:r>
      <w:r>
        <w:t xml:space="preserve"> picks one convention silently (most often reusing Appendix A's single-dose totals, or the unscaled Appendix B curve, without noticing the dose mismatch) and reports a single pass/fail as if the literature had settled it; or builds the table but never states which cell it is actually willing to defend to an auditor, leaving the "interpret" half of D5 undone.</w:t>
      </w:r>
    </w:p>
    <w:p>
      <w:r>
        <w:rPr>
          <w:b/>
          <w:bCs/>
        </w:rPr>
        <w:t xml:space="preserve">Regardless of how a Hero reads D5, the cost tie-breaker below is reported as the case's real cost number — it is not gated on a forced efficacy verdict.</w:t>
      </w:r>
    </w:p>
    <w:p>
      <w:r>
        <w:rPr>
          <w:b/>
          <w:bCs/>
        </w:rPr>
        <w:t xml:space="preserve">(2) The cost tie-breaker, which computes cleanly from real sourced data — RETUNED 2026-09-01.</w:t>
      </w:r>
      <w:r>
        <w:t xml:space="preserve"> The original computation used EntirelyPets Rx's same-retailer, same-bottle-size list pricing (S7), a 500 lb representative animal (MA3), and the conventional label's range-midpoint dosing rate (MA4, 4 mg/lb/day):</w:t>
      </w:r>
    </w:p>
    <w:p>
      <w:pPr>
        <w:ind w:left="360"/>
      </w:pPr>
      <w:r>
        <w:t xml:space="preserve">- Single Shot (long-acting): 22.5 mL × $0.31998/mL = </w:t>
      </w:r>
      <w:r>
        <w:rPr>
          <w:b/>
          <w:bCs/>
        </w:rPr>
        <w:t xml:space="preserve">$7.20</w:t>
      </w:r>
      <w:r>
        <w:t xml:space="preserve"> drug cost + 1 handling event ×   ($7.05/head ÷ 11% 1995 incidence ≈ $64.09/lesion) × 0.2% current fed-cattle incidence ≈ </w:t>
      </w:r>
      <w:r>
        <w:rPr>
          <w:b/>
          <w:bCs/>
        </w:rPr>
        <w:t xml:space="preserve">$0.13</w:t>
      </w:r>
      <w:r>
        <w:t xml:space="preserve">   expected lesion cost = </w:t>
      </w:r>
      <w:r>
        <w:rPr>
          <w:b/>
          <w:bCs/>
        </w:rPr>
        <w:t xml:space="preserve">$7.33 total</w:t>
      </w:r>
      <w:r>
        <w:t xml:space="preserve">.</w:t>
      </w:r>
    </w:p>
    <w:p>
      <w:pPr>
        <w:ind w:left="360"/>
      </w:pPr>
      <w:r>
        <w:t xml:space="preserve">- Four-Day Course (conventional, MA4 = 4 mg/lb/day): 10 mL/day × $0.11598/mL × 4 days = </w:t>
      </w:r>
      <w:r>
        <w:rPr>
          <w:b/>
          <w:bCs/>
        </w:rPr>
        <w:t xml:space="preserve">$4.64</w:t>
      </w:r>
      <w:r>
        <w:t xml:space="preserve">   drug cost + 4 handling events × the same $0.128/event ≈ </w:t>
      </w:r>
      <w:r>
        <w:rPr>
          <w:b/>
          <w:bCs/>
        </w:rPr>
        <w:t xml:space="preserve">$0.51</w:t>
      </w:r>
      <w:r>
        <w:t xml:space="preserve"> expected lesion cost =   </w:t>
      </w:r>
      <w:r>
        <w:rPr>
          <w:b/>
          <w:bCs/>
        </w:rPr>
        <w:t xml:space="preserve">$5.15 total</w:t>
      </w:r>
      <w:r>
        <w:t xml:space="preserve">.</w:t>
      </w:r>
    </w:p>
    <w:p>
      <w:pPr>
        <w:ind w:left="360"/>
      </w:pPr>
      <w:r>
        <w:t xml:space="preserve">- margin_pct = 100 × (7.328 − 5.153) / 7.328 = </w:t>
      </w:r>
      <w:r>
        <w:rPr>
          <w:b/>
          <w:bCs/>
        </w:rPr>
        <w:t xml:space="preserve">29.7%</w:t>
      </w:r>
      <w:r>
        <w:t xml:space="preserve">, exceeding the ~20% SPEC §2 threshold.</w:t>
      </w:r>
    </w:p>
    <w:p>
      <w:r>
        <w:t xml:space="preserve">Per MA4's own pre-existing sensitivity note, the margin was not knife-edge and moves ±25% at the labeled range's ends — so it was retuned by moving MA4 to the labeled range's upper end, </w:t>
      </w:r>
      <w:r>
        <w:rPr>
          <w:b/>
          <w:bCs/>
        </w:rPr>
        <w:t xml:space="preserve">5 mg/lb/day</w:t>
      </w:r>
      <w:r>
        <w:t xml:space="preserve">, a real, already-sourced FDA-label value (S5), not a new figure:</w:t>
      </w:r>
    </w:p>
    <w:p>
      <w:pPr>
        <w:ind w:left="360"/>
      </w:pPr>
      <w:r>
        <w:t xml:space="preserve">- Four-Day Course (conventional, MA4 = 5 mg/lb/day): 12.5 mL/day × $0.11598/mL × 4 days = </w:t>
      </w:r>
      <w:r>
        <w:rPr>
          <w:b/>
          <w:bCs/>
        </w:rPr>
        <w:t xml:space="preserve">$5.80</w:t>
      </w:r>
      <w:r>
        <w:t xml:space="preserve">   drug cost + the same </w:t>
      </w:r>
      <w:r>
        <w:rPr>
          <w:b/>
          <w:bCs/>
        </w:rPr>
        <w:t xml:space="preserve">$0.51</w:t>
      </w:r>
      <w:r>
        <w:t xml:space="preserve"> expected lesion cost = </w:t>
      </w:r>
      <w:r>
        <w:rPr>
          <w:b/>
          <w:bCs/>
        </w:rPr>
        <w:t xml:space="preserve">$6.31 total</w:t>
      </w:r>
      <w:r>
        <w:t xml:space="preserve">.</w:t>
      </w:r>
    </w:p>
    <w:p>
      <w:pPr>
        <w:ind w:left="360"/>
      </w:pPr>
      <w:r>
        <w:t xml:space="preserve">- margin_pct = 100 × (7.328 − 6.312) / 7.328 = </w:t>
      </w:r>
      <w:r>
        <w:rPr>
          <w:b/>
          <w:bCs/>
        </w:rPr>
        <w:t xml:space="preserve">13.9%</w:t>
      </w:r>
      <w:r>
        <w:t xml:space="preserve">, Four-Day Course still cheaper, now under   the SPEC §2 cap.</w:t>
      </w:r>
    </w:p>
    <w:p>
      <w:r>
        <w:t xml:space="preserve">Both options are now confirmed to clear the primary PK/PD gate (see finding (1) above), so per this case's own </w:t>
      </w:r>
      <w:r>
        <w:rPr>
          <w:rFonts w:ascii="Courier New" w:cs="Courier New" w:eastAsia="Courier New" w:hAnsi="Courier New"/>
        </w:rPr>
        <w:t xml:space="preserve">margin_basis</w:t>
      </w:r>
      <w:r>
        <w:t xml:space="preserve"> ("if both pass, compare cost"), this retuned 13.9% margin is the number to use for discussion framing.</w:t>
      </w:r>
    </w:p>
    <w:p>
      <w:pPr>
        <w:pStyle w:val="Heading2"/>
        <w:spacing w:after="120" w:before="240"/>
      </w:pPr>
      <w:r>
        <w:t xml:space="preserve">Anchor ladder (SPEC §7.1)</w:t>
      </w:r>
    </w:p>
    <w:p>
      <w:pPr>
        <w:pStyle w:val="Heading3"/>
        <w:spacing w:after="120" w:before="240"/>
      </w:pPr>
      <w:r>
        <w:t xml:space="preserve">Intro</w:t>
      </w:r>
    </w:p>
    <w:p>
      <w:r>
        <w:t xml:space="preserve">Frame the format: a treatment protocol Priya has to sign her own name to, tonight, with a foreman waiting by the chute — not a worksheet. Name the opener: "You are Dr. Priya Chandrasekaran. Two dosing charts, both real, both from real drug labels. Your signature makes whichever one you pick the herd's official record for a year."</w:t>
      </w:r>
    </w:p>
    <w:p>
      <w:pPr>
        <w:pStyle w:val="Heading3"/>
        <w:spacing w:after="120" w:before="240"/>
      </w:pPr>
      <w:r>
        <w:t xml:space="preserve">Launch</w:t>
      </w:r>
    </w:p>
    <w:p>
      <w:r>
        <w:t xml:space="preserve">Read the Overview aloud, stop at "hovers the cursor over the other," and ask: "Before any numbers — one shot and done, or four shots spread across a week. Which would you sign, and why, just from that?"</w:t>
      </w:r>
    </w:p>
    <w:p>
      <w:pPr>
        <w:pStyle w:val="Heading3"/>
        <w:spacing w:after="120" w:before="240"/>
      </w:pPr>
      <w:r>
        <w:t xml:space="preserve">Anchor 1 — Take a stand and vote</w:t>
      </w:r>
    </w:p>
    <w:p>
      <w:r>
        <w:t xml:space="preserve">"Is anyone courageous enough to stand with the Single Shot — one injection, higher price?" Count hands. "And the Four-Day Course — cheaper, but the crew's back in that chute four times?" Count hands. Record the split.</w:t>
      </w:r>
    </w:p>
    <w:p>
      <w:pPr>
        <w:pStyle w:val="Heading3"/>
        <w:spacing w:after="120" w:before="240"/>
      </w:pPr>
      <w:r>
        <w:t xml:space="preserve">Anchor 2 — What is the problem we're solving?</w:t>
      </w:r>
    </w:p>
    <w:p>
      <w:r>
        <w:t xml:space="preserve">Let confusion grow. Heroes will want to jump to "which one is cheaper" — push instead: "Does a drug protocol even get to be judged on cost before it's judged on whether it actually works?" The room should arrive at "we need to check the exposure curve clears the efficacy target BEFORE cost even matters" before Anchor 3.</w:t>
      </w:r>
    </w:p>
    <w:p>
      <w:pPr>
        <w:pStyle w:val="Heading3"/>
        <w:spacing w:after="120" w:before="240"/>
      </w:pPr>
      <w:r>
        <w:t xml:space="preserve">Anchor 3 — What is the process?</w:t>
      </w:r>
    </w:p>
    <w:p>
      <w:r>
        <w:t xml:space="preserve">Walk the room toward: build a Riemann sum for each option's AUC from the sampled data (D1), fit and integrate a continuous model to cross-check it (D2), compare both against the published fAUC/MIC target (D3), then — only once both pass — compare total per-animal cost (D4).</w:t>
      </w:r>
    </w:p>
    <w:p>
      <w:pPr>
        <w:pStyle w:val="Heading3"/>
        <w:spacing w:after="120" w:before="240"/>
      </w:pPr>
      <w:r>
        <w:t xml:space="preserve">Anchor 4 — What don't we know?</w:t>
      </w:r>
    </w:p>
    <w:p>
      <w:r>
        <w:t xml:space="preserve">Surface honestly: Appendix B's concentration-time table is a disclosed reconstruction (MA1), not raw published data — the study never published one; the multi-dose superposition for the Four-Day Course (MA2) is a standard PK assumption, not a certainty; the animal's body weight (MA3) and the exact conventional dosing rate used for costing (MA4) are both stated scenario choices within real labeled ranges. Ask: "Which of these, if it moved, would change whether a chart even clears the efficacy line — not just its cost?"</w:t>
      </w:r>
    </w:p>
    <w:p>
      <w:pPr>
        <w:pStyle w:val="Heading3"/>
        <w:spacing w:after="120" w:before="240"/>
      </w:pPr>
      <w:r>
        <w:t xml:space="preserve">Data Deep Dive</w:t>
      </w:r>
    </w:p>
    <w:p>
      <w:r>
        <w:t xml:space="preserve">Walk D1 through D5 together, but build D5's table using </w:t>
      </w:r>
      <w:r>
        <w:rPr>
          <w:b/>
          <w:bCs/>
        </w:rPr>
        <w:t xml:space="preserve">only the calves benchmark (target 24 μg·h/mL)</w:t>
      </w:r>
      <w:r>
        <w:t xml:space="preserve"> for now — the benchmark that matches the case's own stated stocker/feeder-calf population, and the one a Hero reaches for by default without being prompted that a second benchmark exists. Under that one benchmark: the Single Shot's fixed AUC0-24h (39.1 μg·h/mL) passes; the Four-Day Course's 4 dose/window cells (21.4, 26.9, 35.7, 44.8 μg·h/mL) pass in 3 of 4, failing only at the label's low end under the day-1-only window. Let the room work through which single cell they'd defend to an auditor, </w:t>
      </w:r>
      <w:r>
        <w:rPr>
          <w:i/>
          <w:iCs/>
        </w:rPr>
        <w:t xml:space="preserve">then</w:t>
      </w:r>
      <w:r>
        <w:t xml:space="preserve"> reveal the cost comparison: $7.33 (Single Shot) vs. $6.31 (Four-Day Course), a 13.9% margin. Cold-call specifically for whether a Hero checked the efficacy table before jumping to cost, and for which single cell they would actually defend if an auditor picked one for them. </w:t>
      </w:r>
      <w:r>
        <w:rPr>
          <w:b/>
          <w:bCs/>
        </w:rPr>
        <w:t xml:space="preserve">Do not yet mention Appendix C's second (adult-cattle/CLSI) cutoff or that the target is population-specific</w:t>
      </w:r>
      <w:r>
        <w:t xml:space="preserve"> — hold that reveal for the Twist below; springing it early gives away the Twist's entire point before it lands.</w:t>
      </w:r>
    </w:p>
    <w:p>
      <w:pPr>
        <w:pStyle w:val="Heading3"/>
        <w:spacing w:after="120" w:before="240"/>
      </w:pPr>
      <w:r>
        <w:t xml:space="preserve">Twist</w:t>
      </w:r>
    </w:p>
    <w:p>
      <w:r>
        <w:t xml:space="preserve">Reveal that Appendix C's PK/PD cutoff concentration is population-specific — 1 mg/L for calves, 2 mg/L for adult cattle — and that the CLSI clinical breakpoint (≤2 mg/L) lands on that same 2 mg/L number regardless of age class. Ask: "If someone in the room used that adult-cattle/CLSI number instead of the calves cutoff, what happens to D5's whole table?" (Answer: every cell for both options fails — even the Four-Day Course's best case, 44.8 μg·h/mL, falls short of the 48 μg·h/mL target.) This is not a fabricated plot twist; it is the case's own real, computed table, and it shows that a single unstated assumption (which MIC benchmark applies) can flip the entire table from "several passing cells" to "zero passing cells" even though every underlying number is real and unchanged.</w:t>
      </w:r>
    </w:p>
    <w:p>
      <w:pPr>
        <w:pStyle w:val="Heading3"/>
        <w:spacing w:after="120" w:before="240"/>
      </w:pPr>
      <w:r>
        <w:t xml:space="preserve">Close</w:t>
      </w:r>
    </w:p>
    <w:p>
      <w:r>
        <w:t xml:space="preserve">Re-vote. "Did we ask the right question at Anchor 2? Was this ever really about which chart is cheaper, or about which chart Priya can actually defend as effective, on paper, for the population she's actually treating?"</w:t>
      </w:r>
    </w:p>
    <w:p>
      <w:pPr>
        <w:pStyle w:val="Heading3"/>
        <w:spacing w:after="120" w:before="240"/>
      </w:pPr>
      <w:r>
        <w:t xml:space="preserve">Lessons Learned</w:t>
      </w:r>
    </w:p>
    <w:p>
      <w:pPr>
        <w:ind w:left="360"/>
      </w:pPr>
      <w:r>
        <w:t xml:space="preserve">- A drug's total single-dose exposure being similar to another's (Appendix A) says nothing about   whether the </w:t>
      </w:r>
      <w:r>
        <w:rPr>
          <w:i/>
          <w:iCs/>
        </w:rPr>
        <w:t xml:space="preserve">shape</w:t>
      </w:r>
      <w:r>
        <w:t xml:space="preserve"> of its curve over a full multi-day course stays above an efficacy line — only   the full-window definite integral answers that.</w:t>
      </w:r>
    </w:p>
    <w:p>
      <w:pPr>
        <w:ind w:left="360"/>
      </w:pPr>
      <w:r>
        <w:t xml:space="preserve">- An efficacy target expressed as a ratio (fAUC/MIC) is only as good as the MIC you plug in — and   which MIC applies can depend on a fact about the case (here, the animals' age class) a Hero might   not think to check.</w:t>
      </w:r>
    </w:p>
    <w:p>
      <w:pPr>
        <w:ind w:left="360"/>
      </w:pPr>
      <w:r>
        <w:t xml:space="preserve">- A convention-sensitivity table (D5) is not a way of dodging a recommendation — it is a way of   showing exactly which assumption a recommendation rests on, so it can be defended cell-by-cell   rather than asserted as if the literature had settled it.</w:t>
      </w:r>
    </w:p>
    <w:p>
      <w:pPr>
        <w:ind w:left="360"/>
      </w:pPr>
      <w:r>
        <w:t xml:space="preserve">- Cost is explicitly a tie-breaker in this case, not the primary metric — a Hero who compares cost   first has answered the wrong question first, even if the arithmetic is correct.</w:t>
      </w:r>
    </w:p>
    <w:p>
      <w:pPr>
        <w:pStyle w:val="Heading3"/>
        <w:spacing w:after="120" w:before="240"/>
      </w:pPr>
      <w:r>
        <w:t xml:space="preserve">Standards Touched On</w:t>
      </w:r>
    </w:p>
    <w:p>
      <w:r>
        <w:t xml:space="preserve">Calculus/Integrals — Antiderivative, Definite Integral, Indefinite Integral, Riemann Sum, and the 3 how-to skills (power-rule antiderivatives, FTC evaluation, Riemann-sum approximation). See </w:t>
      </w:r>
      <w:r>
        <w:rPr>
          <w:rFonts w:ascii="Courier New" w:cs="Courier New" w:eastAsia="Courier New" w:hAnsi="Courier New"/>
        </w:rPr>
        <w:t xml:space="preserve">case.json.standards[]</w:t>
      </w:r>
      <w:r>
        <w:t xml:space="preserve">. </w:t>
      </w:r>
      <w:r>
        <w:rPr>
          <w:rFonts w:ascii="Courier New" w:cs="Courier New" w:eastAsia="Courier New" w:hAnsi="Courier New"/>
        </w:rPr>
        <w:t xml:space="preserve">new_coverage[]</w:t>
      </w:r>
      <w:r>
        <w:t xml:space="preserve"> is empty by design — see the reinforcement note above.</w:t>
      </w:r>
    </w:p>
    <w:p>
      <w:pPr>
        <w:pStyle w:val="Heading2"/>
        <w:spacing w:after="120" w:before="24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cheaper" (Anchor 2 — efficacy before cost).</w:t>
            </w:r>
          </w:p>
        </w:tc>
      </w:tr>
      <w:tr>
        <w:tc>
          <w:tcPr>
            <w:tcW w:type="dxa" w:w="4500"/>
          </w:tcPr>
          <w:p>
            <w:r>
              <w:t xml:space="preserve">10:00–15:00</w:t>
            </w:r>
          </w:p>
        </w:tc>
        <w:tc>
          <w:tcPr>
            <w:tcW w:type="dxa" w:w="4500"/>
          </w:tcPr>
          <w:p>
            <w:r>
              <w:t xml:space="preserve">Pressure-test the models: process and open assumptions (Anchors 3–4) — what's real published PK data vs. a disclosed reconstruction.</w:t>
            </w:r>
          </w:p>
        </w:tc>
      </w:tr>
      <w:tr>
        <w:tc>
          <w:tcPr>
            <w:tcW w:type="dxa" w:w="4500"/>
          </w:tcPr>
          <w:p>
            <w:r>
              <w:t xml:space="preserve">15:00–25:00</w:t>
            </w:r>
          </w:p>
        </w:tc>
        <w:tc>
          <w:tcPr>
            <w:tcW w:type="dxa" w:w="4500"/>
          </w:tcPr>
          <w:p>
            <w:r>
              <w:t xml:space="preserve">Data Deep Dive — D1–D5 together, build the convention-sensitivity table live using the calves benchmark only, then reveal the 13.9% cost margin. Hold the second (CLSI/adult-cattle) MIC benchmark back for the Twist.</w:t>
            </w:r>
          </w:p>
        </w:tc>
      </w:tr>
      <w:tr>
        <w:tc>
          <w:tcPr>
            <w:tcW w:type="dxa" w:w="4500"/>
          </w:tcPr>
          <w:p>
            <w:r>
              <w:rPr>
                <w:b/>
                <w:bCs/>
              </w:rPr>
              <w:t xml:space="preserve">25:00</w:t>
            </w:r>
          </w:p>
        </w:tc>
        <w:tc>
          <w:tcPr>
            <w:tcW w:type="dxa" w:w="4500"/>
          </w:tcPr>
          <w:p>
            <w:r>
              <w:rPr>
                <w:b/>
                <w:bCs/>
              </w:rPr>
              <w:t xml:space="preserve">DROP THE TWIST</w:t>
            </w:r>
            <w:r>
              <w:t xml:space="preserve"> — the calves-vs-CLSI/adult-cattle MIC cutoff question, delivered slowly, showing every table cell flip to FAIL.</w:t>
            </w:r>
          </w:p>
        </w:tc>
      </w:tr>
      <w:tr>
        <w:tc>
          <w:tcPr>
            <w:tcW w:type="dxa" w:w="4500"/>
          </w:tcPr>
          <w:p>
            <w:r>
              <w:t xml:space="preserve">25:00–30:00</w:t>
            </w:r>
          </w:p>
        </w:tc>
        <w:tc>
          <w:tcPr>
            <w:tcW w:type="dxa" w:w="4500"/>
          </w:tcPr>
          <w:p>
            <w:r>
              <w:t xml:space="preserve">Immediate recommit — does anyone reverse? "What just broke — the cost comparison, or the efficacy table?"</w:t>
            </w:r>
          </w:p>
        </w:tc>
      </w:tr>
      <w:tr>
        <w:tc>
          <w:tcPr>
            <w:tcW w:type="dxa" w:w="4500"/>
          </w:tcPr>
          <w:p>
            <w:r>
              <w:t xml:space="preserve">30:00–40:00</w:t>
            </w:r>
          </w:p>
        </w:tc>
        <w:tc>
          <w:tcPr>
            <w:tcW w:type="dxa" w:w="4500"/>
          </w:tcPr>
          <w:p>
            <w:r>
              <w:t xml:space="preserve">Threaded deep conflict, two named threads: (1) similar single-dose totals vs. very different full-course curve shapes; (2) a population-dependent efficacy cutoff that zeroes out the whole table vs. a clean cost margin.</w:t>
            </w:r>
          </w:p>
        </w:tc>
      </w:tr>
      <w:tr>
        <w:tc>
          <w:tcPr>
            <w:tcW w:type="dxa" w:w="4500"/>
          </w:tcPr>
          <w:p>
            <w:r>
              <w:t xml:space="preserve">40:00–45:00</w:t>
            </w:r>
          </w:p>
        </w:tc>
        <w:tc>
          <w:tcPr>
            <w:tcW w:type="dxa" w:w="4500"/>
          </w:tcPr>
          <w:p>
            <w:r>
              <w:t xml:space="preserve">Close, re-vote, Lessons Learned.</w:t>
            </w:r>
          </w:p>
        </w:tc>
      </w:tr>
    </w:tbl>
    <w:p/>
    <w:p>
      <w:pPr>
        <w:pStyle w:val="Heading2"/>
        <w:spacing w:after="120" w:before="240"/>
      </w:pPr>
      <w:r>
        <w:t xml:space="preserve">Five Socratic questions</w:t>
      </w:r>
    </w:p>
    <w:p>
      <w:pPr>
        <w:ind w:left="360"/>
      </w:pPr>
      <w:r>
        <w:t xml:space="preserve">1. Your Riemann-sum AUC and your Fundamental-Theorem-of-Calculus AUC for the same option should land close together — if they don't, is the disagreement in your sampled data, your fitted curve, or your arithmetic?</w:t>
      </w:r>
    </w:p>
    <w:p>
      <w:pPr>
        <w:ind w:left="360"/>
      </w:pPr>
      <w:r>
        <w:t xml:space="preserve">2. The Single Shot's single-dose AUC and the Four-Day Course's single-dose AUC start out close to each other in Appendix A — so why can't Priya just compare those two totals and be done?</w:t>
      </w:r>
    </w:p>
    <w:p>
      <w:pPr>
        <w:ind w:left="360"/>
      </w:pPr>
      <w:r>
        <w:t xml:space="preserve">3. Between two conventional-formulation doses, does the computed concentration ever dip low enough that a definite integral over that gap alone would fail the fAUC/MIC target, even if the full-course total clears it?</w:t>
      </w:r>
    </w:p>
    <w:p>
      <w:pPr>
        <w:ind w:left="360"/>
      </w:pPr>
      <w:r>
        <w:t xml:space="preserve">4. If the Four-Day Course's total drug cost comes out lower, does that automatically make it the cheaper option once you price in its extra handling events using Appendix E's lesion-cost data?</w:t>
      </w:r>
    </w:p>
    <w:p>
      <w:pPr>
        <w:ind w:left="360"/>
      </w:pPr>
      <w:r>
        <w:t xml:space="preserve">5. Which of your four deliverables would change first if the multi-dose superposition assumption behind the Four-Day Course's cumulative AUC turned out to be wrong — and would it flip your recommendation, or just your confidence in the margin?</w:t>
      </w:r>
    </w:p>
    <w:p>
      <w:pPr>
        <w:pStyle w:val="Heading2"/>
        <w:spacing w:after="120" w:before="240"/>
      </w:pPr>
      <w:r>
        <w:t xml:space="preserve">The trap</w:t>
      </w:r>
    </w:p>
    <w:p>
      <w:r>
        <w:rPr>
          <w:b/>
          <w:bCs/>
        </w:rPr>
        <w:t xml:space="preserve">Trap 1 (empirically demonstrated — the one to watch for hardest).</w:t>
      </w:r>
      <w:r>
        <w:t xml:space="preserve"> Heroes will read the Four-Day Course's AUC0-24h directly off Appendix B's modeled concentration-time curve without first rescaling it off the curve's underlying ~9.07 mg/lb study dose down to the conventional label's actual 3–5 mg/lb/day dosing rate (D5/Appendix G) — treating Appendix B as if it already represented the labeled dose. This is not a hypothetical failure mode: a fresh, blind solve using only the student packet independently made exactly this error, reading 64.7 μg·h/mL straight off the curve instead of rescaling down to the correct 21.4-44.8 μg·h/mL range (see </w:t>
      </w:r>
      <w:r>
        <w:rPr>
          <w:rFonts w:ascii="Courier New" w:cs="Courier New" w:eastAsia="Courier New" w:hAnsi="Courier New"/>
        </w:rPr>
        <w:t xml:space="preserve">case.json.derived.primary_gate_resolution.note_on_prior_resolution</w:t>
      </w:r>
      <w:r>
        <w:t xml:space="preserve">, which documents an earlier case-authoring pass making this identical mistake before it was caught and corrected). A student who skips the rescaling step does a real, correctly-executed integral in service of the wrong input — the arithmetic checks out, but the dose it describes isn't the one on the label. Watch for this specifically when a Hero moves from D2's curve-fitting straight to D3's pass/fail table without pausing to ask "what dose was Appendix B's curve actually built at, and is that the dose the Four-Day Course is labeled for?"</w:t>
      </w:r>
    </w:p>
    <w:p>
      <w:r>
        <w:rPr>
          <w:b/>
          <w:bCs/>
        </w:rPr>
        <w:t xml:space="preserve">Trap 2.</w:t>
      </w:r>
      <w:r>
        <w:t xml:space="preserve"> Heroes will compare the two options' single-dose AUC totals from Appendix A — a small percentage apart — and conclude the choice barely matters, since "the areas are basically the same." That reasoning misses that the Four-Day Course's shorter half-life means its concentration curve behaves very differently </w:t>
      </w:r>
      <w:r>
        <w:rPr>
          <w:i/>
          <w:iCs/>
        </w:rPr>
        <w:t xml:space="preserve">between</w:t>
      </w:r>
      <w:r>
        <w:t xml:space="preserve"> doses than the Single Shot's curve ever has to: the two single-dose totals being close does not mean the two full-treatment-window curves behave the same way, and only the definite integral over the </w:t>
      </w:r>
      <w:r>
        <w:rPr>
          <w:i/>
          <w:iCs/>
        </w:rPr>
        <w:t xml:space="preserve">entire</w:t>
      </w:r>
      <w:r>
        <w:t xml:space="preserve"> window — not the single-dose AUC comparison in Appendix A — can show whether the repeated-dosing option's cumulative exposure ever sags below the efficacy threshold in the gaps between injections. A student who stops at Appendix A has done real calculus (a correct AUC computation) in service of the wrong question.</w:t>
      </w:r>
    </w:p>
    <w:p>
      <w:pPr>
        <w:pStyle w:val="Heading2"/>
        <w:spacing w:after="120" w:before="240"/>
      </w:pPr>
      <w:r>
        <w:t xml:space="preserve">What a strong defense sounds like</w:t>
      </w:r>
    </w:p>
    <w:p>
      <w:r>
        <w:t xml:space="preserve">There is no single right answer here, so don't grade toward "picked Option A" or "picked Option B." A strong defense gets D1–D5 arithmetically right, states a clear recommendation, and then does two things a weak defense skips: it builds D5's convention-sensitivity table </w:t>
      </w:r>
      <w:r>
        <w:rPr>
          <w:i/>
          <w:iCs/>
        </w:rPr>
        <w:t xml:space="preserve">before</w:t>
      </w:r>
      <w:r>
        <w:t xml:space="preserve"> comparing cost — not after, and not by assuming a similar single-dose AUC (Appendix A) settles the question — and it names </w:t>
      </w:r>
      <w:r>
        <w:rPr>
          <w:i/>
          <w:iCs/>
        </w:rPr>
        <w:t xml:space="preserve">which</w:t>
      </w:r>
      <w:r>
        <w:t xml:space="preserve"> cell of that table (dosing point, MIC benchmark, window convention) it is defending and why, rather than presenting one pass/fail as if the literature had settled it. A Hero who says "I'd sign the Four-Day Course at the label's high end (5 mg/lb/day) — it clears the calves benchmark under both windows, it's cheaper, and here's why I'd defend the calves cutoff over the CLSI/adult-cattle one for this stated population, while owning that the low end of the range would fail" is defending far better than one who jumps straight to the 13.9% cost margin, or who reports D5 as a single "it passes" verdict without saying which convention that rests on. A Hero who names MA4 (the conventional dosing rate chosen from the label's 3–5 mg/lb/day range) as a real, disclosed assumption — and can say which way both the margin </w:t>
      </w:r>
      <w:r>
        <w:rPr>
          <w:i/>
          <w:iCs/>
        </w:rPr>
        <w:t xml:space="preserve">and</w:t>
      </w:r>
      <w:r>
        <w:t xml:space="preserve"> the efficacy table move if a different point in that range were used — is defending better than one who treats either the margin or the efficacy verdict as settled fact. Either recommendation (A or B) can be a strong one if it shows this reasoning; neither is a strong one without it.</w:t>
      </w:r>
    </w:p>
    <w:p>
      <w:pPr>
        <w:pStyle w:val="Heading2"/>
        <w:spacing w:after="120" w:before="240"/>
      </w:pPr>
      <w:r>
        <w:t xml:space="preserve">Modeling-assumption watch (facilitator-only) — resolved 2026-08-31</w:t>
      </w:r>
    </w:p>
    <w:p>
      <w:r>
        <w:t xml:space="preserve">The concept research flagged three placeholders as likely to resolve as stated Modeling Assumptions rather than cited figures. Outcome, now that </w:t>
      </w:r>
      <w:r>
        <w:rPr>
          <w:rFonts w:ascii="Courier New" w:cs="Courier New" w:eastAsia="Courier New" w:hAnsi="Courier New"/>
        </w:rPr>
        <w:t xml:space="preserve">case-research</w:t>
      </w:r>
      <w:r>
        <w:t xml:space="preserve"> has run:</w:t>
      </w:r>
    </w:p>
    <w:p>
      <w:pPr>
        <w:ind w:left="360"/>
      </w:pPr>
      <w:r>
        <w:t xml:space="preserve">1. </w:t>
      </w:r>
      <w:r>
        <w:rPr>
          <w:b/>
          <w:bCs/>
        </w:rPr>
        <w:t xml:space="preserve">Appendix B's sampled curve</w:t>
      </w:r>
      <w:r>
        <w:t xml:space="preserve"> — resolved as anticipated: no raw digitized table exists (only    summary stats + a plotted figure in Aktaş &amp; Yarsan 2017), so it shipped as </w:t>
      </w:r>
      <w:r>
        <w:rPr>
          <w:b/>
          <w:bCs/>
        </w:rPr>
        <w:t xml:space="preserve">MA1</w:t>
      </w:r>
      <w:r>
        <w:t xml:space="preserve">, a disclosed    one-compartment reconstruction anchored to the real half-life and real mean AUC. Its own implied    Cmax undershoots the paper's reported Cmax — disclosed in </w:t>
      </w:r>
      <w:r>
        <w:rPr>
          <w:rFonts w:ascii="Courier New" w:cs="Courier New" w:eastAsia="Courier New" w:hAnsi="Courier New"/>
        </w:rPr>
        <w:t xml:space="preserve">case.md</w:t>
      </w:r>
      <w:r>
        <w:t xml:space="preserve">, not hidden; see MA1's    sensitivity note and </w:t>
      </w:r>
      <w:r>
        <w:rPr>
          <w:rFonts w:ascii="Courier New" w:cs="Courier New" w:eastAsia="Courier New" w:hAnsi="Courier New"/>
        </w:rPr>
        <w:t xml:space="preserve">RESEARCH_LOG.md</w:t>
      </w:r>
      <w:r>
        <w:t xml:space="preserve">.</w:t>
      </w:r>
    </w:p>
    <w:p>
      <w:pPr>
        <w:ind w:left="360"/>
      </w:pPr>
      <w:r>
        <w:t xml:space="preserve">2. </w:t>
      </w:r>
      <w:r>
        <w:rPr>
          <w:b/>
          <w:bCs/>
        </w:rPr>
        <w:t xml:space="preserve">Multi-dose superposition</w:t>
      </w:r>
      <w:r>
        <w:t xml:space="preserve"> — resolved as anticipated: shipped as </w:t>
      </w:r>
      <w:r>
        <w:rPr>
          <w:b/>
          <w:bCs/>
        </w:rPr>
        <w:t xml:space="preserve">MA2</w:t>
      </w:r>
      <w:r>
        <w:t xml:space="preserve">, stated and justified    explicitly (linear/time-invariant PK), with the sensitivity direction noted (a real violation    would hurt, not help, the Four-Day Course's margin).</w:t>
      </w:r>
    </w:p>
    <w:p>
      <w:pPr>
        <w:ind w:left="360"/>
      </w:pPr>
      <w:r>
        <w:t xml:space="preserve">3. </w:t>
      </w:r>
      <w:r>
        <w:rPr>
          <w:b/>
          <w:bCs/>
        </w:rPr>
        <w:t xml:space="preserve">Per-dose price differential</w:t>
      </w:r>
      <w:r>
        <w:t xml:space="preserve"> — resolved </w:t>
      </w:r>
      <w:r>
        <w:rPr>
          <w:i/>
          <w:iCs/>
        </w:rPr>
        <w:t xml:space="preserve">better</w:t>
      </w:r>
      <w:r>
        <w:t xml:space="preserve"> than anticipated: a real, current,    same-retailer price comparison </w:t>
      </w:r>
      <w:r>
        <w:rPr>
          <w:b/>
          <w:bCs/>
        </w:rPr>
        <w:t xml:space="preserve">was</w:t>
      </w:r>
      <w:r>
        <w:t xml:space="preserve"> found (S7, EntirelyPets Rx, MEDIUM confidence — retail,    not wholesale, pricing) and shipped as a SOURCED figure, not an assumption. Converting it to a    per-dose cost still required two further stated assumptions (</w:t>
      </w:r>
      <w:r>
        <w:rPr>
          <w:b/>
          <w:bCs/>
        </w:rPr>
        <w:t xml:space="preserve">MA3</w:t>
      </w:r>
      <w:r>
        <w:t xml:space="preserve">, representative body    weight; </w:t>
      </w:r>
      <w:r>
        <w:rPr>
          <w:b/>
          <w:bCs/>
        </w:rPr>
        <w:t xml:space="preserve">MA4</w:t>
      </w:r>
      <w:r>
        <w:t xml:space="preserve">, a specific point-dose within the conventional label's range), since neither is    stated anywhere else in the case.</w:t>
      </w:r>
    </w:p>
    <w:p>
      <w:r>
        <w:t xml:space="preserve">One additional assumption not anticipated by the concept research also shipped: </w:t>
      </w:r>
      <w:r>
        <w:rPr>
          <w:b/>
          <w:bCs/>
        </w:rPr>
        <w:t xml:space="preserve">MA5</w:t>
      </w:r>
      <w:r>
        <w:t xml:space="preserve">, the operation's fixed per-head treatment budget cap, necessarily fictional to this specific operation, grounded in a real USDA APHIS NAHMS feedlot BRD-treatment-cost benchmark (S10) rather than picked arbitrarily.</w:t>
      </w:r>
    </w:p>
    <w:p>
      <w:r>
        <w:rPr>
          <w:b/>
          <w:bCs/>
        </w:rPr>
        <w:t xml:space="preserve">Restructured 2026-09-01 (case-readiness stage):</w:t>
      </w:r>
      <w:r>
        <w:t xml:space="preserve"> the case's primary fAUC/MIC pass/fail gate does not have one clean verdict under the real sourced parameters — it depends on which dosing point, MIC benchmark, and window convention are used, and this is now an explicit deliverable (D5, Appendix G) rather than a fact the facilitator hands the student. See "The margin" above, </w:t>
      </w:r>
      <w:r>
        <w:rPr>
          <w:rFonts w:ascii="Courier New" w:cs="Courier New" w:eastAsia="Courier New" w:hAnsi="Courier New"/>
        </w:rPr>
        <w:t xml:space="preserve">case.json.balance.margin_note</w:t>
      </w:r>
      <w:r>
        <w:t xml:space="preserve">, and </w:t>
      </w:r>
      <w:r>
        <w:rPr>
          <w:rFonts w:ascii="Courier New" w:cs="Courier New" w:eastAsia="Courier New" w:hAnsi="Courier New"/>
        </w:rPr>
        <w:t xml:space="preserve">case.json.derived.primary_gate_resolution</w:t>
      </w:r>
      <w:r>
        <w:t xml:space="preserve"> for the full computable table and reasoning.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2026-09-02T01:17:25.030Z</dcterms:created>
  <dcterms:modified xsi:type="dcterms:W3CDTF">2026-09-02T01:17:25.030Z</dcterms:modified>
</cp:coreProperties>
</file>

<file path=docProps/custom.xml><?xml version="1.0" encoding="utf-8"?>
<Properties xmlns="http://schemas.openxmlformats.org/officeDocument/2006/custom-properties" xmlns:vt="http://schemas.openxmlformats.org/officeDocument/2006/docPropsVTypes"/>
</file>