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a3a5c"/>
          <w:sz w:val="40"/>
          <w:szCs w:val="40"/>
        </w:rPr>
        <w:t xml:space="preserve">Facilitator Guide: The Mainline Margin</w:t>
      </w:r>
    </w:p>
    <w:p>
      <w:pPr>
        <w:spacing w:after="60"/>
        <w:jc w:val="center"/>
      </w:pPr>
      <w:r>
        <w:rPr>
          <w:b/>
          <w:bCs/>
          <w:color w:val="8a3a1f"/>
          <w:sz w:val="20"/>
          <w:szCs w:val="20"/>
        </w:rPr>
        <w:t xml:space="preserve">FACILITATOR-ONLY — do not distribute to students</w:t>
      </w:r>
    </w:p>
    <w:p>
      <w:pPr>
        <w:spacing w:after="300"/>
        <w:jc w:val="center"/>
      </w:pPr>
      <w:r>
        <w:rPr>
          <w:i/>
          <w:iCs/>
          <w:color w:val="5b6472"/>
          <w:sz w:val="20"/>
          <w:szCs w:val="20"/>
        </w:rPr>
        <w:t xml:space="preserve">MS | Math | Case Study | 2026-27 | Heroes Academy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tcBorders>
              <w:top w:val="single" w:color="8a3a1f" w:sz="8"/>
              <w:left w:val="single" w:color="8a3a1f" w:sz="8"/>
              <w:bottom w:val="single" w:color="8a3a1f" w:sz="8"/>
              <w:right w:val="single" w:color="8a3a1f" w:sz="8"/>
            </w:tcBorders>
            <w:shd w:fill="FFF4E6" w:val="clear"/>
            <w:tcMar>
              <w:top w:type="dxa" w:w="160"/>
              <w:left w:type="dxa" w:w="200"/>
              <w:bottom w:type="dxa" w:w="160"/>
              <w:right w:type="dxa" w:w="200"/>
            </w:tcMar>
          </w:tcPr>
          <w:p>
            <w:pPr>
              <w:spacing w:after="160"/>
            </w:pPr>
            <w:r>
              <w:rPr>
                <w:b/>
                <w:bCs/>
                <w:color w:val="8a3a1f"/>
              </w:rPr>
              <w:t xml:space="preserve">Publish-time run-of-show, top-of-guide summary</w:t>
            </w:r>
          </w:p>
          <w:p>
            <w:pPr>
              <w:spacing w:after="160"/>
            </w:pPr>
            <w:r>
              <w:t xml:space="preserve">This case grades on TWO explicit metrics, not one blended number. PRIMARY: TRUE (subsidy-free) cost per acre-inch — material + labor + pump energy only, no EQIP reimbursement. SECONDARY: NET-OF-SUBSIDY cost per acre-inch — the same cost minus each option's EQIP Practice 430 reimbursement. Option B (Margin Main) wins under BOTH metrics, but the margins are very different sizes: TRUE ~1.3% (a genuine engineering toss-up) vs. NET-OF-SUBSIDY ~50.3% (what actually lands on Denise's bid). Roughly 49 of the 50.3 net-of-subsidy percentage points come from the EQIP pay-by-weight formula itself, not from real efficiency. Both options certify against NRCS Code 430 at the farm's required 440 GPM — but the Lean Main's margin to the ceiling is only ~0.16%, the single most sensitive figure in the case (MA1).</w:t>
            </w:r>
          </w:p>
        </w:tc>
      </w:tr>
    </w:tbl>
    <w:p>
      <w:pPr>
        <w:spacing w:after="160"/>
      </w:pPr>
      <w:r>
        <w:t xml:space="preserve"/>
      </w:r>
    </w:p>
    <w:p>
      <w:pPr>
        <w:pStyle w:val="Heading2"/>
        <w:spacing w:after="120" w:before="220"/>
      </w:pPr>
      <w:r>
        <w:rPr>
          <w:b/>
          <w:bCs/>
          <w:color w:val="1a3a5c"/>
          <w:sz w:val="26"/>
          <w:szCs w:val="26"/>
        </w:rPr>
        <w:t xml:space="preserve">Argument for A — The Lean Main</w:t>
      </w:r>
    </w:p>
    <w:p>
      <w:pPr>
        <w:spacing w:after="160"/>
      </w:pPr>
      <w:r>
        <w:t xml:space="preserve">The smaller-diameter PVC mainline costs less per foot and weighs less per foot than the wider option, so it wins outright on up-front material spend before any reimbursement or operating cost is even considered — the option that looks cheapest on the purchase-order line alone, and the one a bid built purely on sticker price would favor. If its design velocity stays under NRCS Code 430's ceiling at the farm's actual required flow rate, this is a legitimate, defensible pick: lower capital cost, and Denise's bid clears the competing contractor's number more easily on the front end.</w:t>
      </w:r>
    </w:p>
    <w:p>
      <w:pPr>
        <w:pStyle w:val="Heading2"/>
        <w:spacing w:after="120" w:before="220"/>
      </w:pPr>
      <w:r>
        <w:rPr>
          <w:b/>
          <w:bCs/>
          <w:color w:val="1a3a5c"/>
          <w:sz w:val="26"/>
          <w:szCs w:val="26"/>
        </w:rPr>
        <w:t xml:space="preserve">Argument for B — The Margin Main</w:t>
      </w:r>
    </w:p>
    <w:p>
      <w:pPr>
        <w:spacing w:after="160"/>
      </w:pPr>
      <w:r>
        <w:t xml:space="preserve">The next-size-up PVC mainline keeps flow velocity comfortably under NRCS Code 430's ceiling and, because Hazen-Williams friction loss scales with roughly the diameter's −4.87 power, cuts the pipeline's friction loss — and therefore the pump's total dynamic head and annual energy cost — enough (from ~$229/yr down to ~$56/yr) to beat the Lean Main on TRUE cost alone, with zero subsidy counted, by a real if thin ~1.3%. It also earns a much larger per-pound EQIP reimbursement, since Practice 430 pays by weight installed — which is what turns that thin 1.3% true edge into the ~50.3% gap that actually shows up on Denise's bid. Most importantly, if the Lean Main's velocity crosses Code 430's ceiling, its EQIP reimbursement is forfeited in full, not reduced — turning the “cheaper” option into the one that actually costs the client more once certification risk is priced in. Neither option is a free lunch: the Margin Main's higher material cost and higher farmer co-pay are real out-of-pocket costs regardless of the reimbursement rate.</w:t>
      </w:r>
    </w:p>
    <w:p>
      <w:pPr>
        <w:pStyle w:val="Heading2"/>
        <w:spacing w:after="120" w:before="220"/>
      </w:pPr>
      <w:r>
        <w:rPr>
          <w:b/>
          <w:bCs/>
          <w:color w:val="1a3a5c"/>
          <w:sz w:val="26"/>
          <w:szCs w:val="26"/>
        </w:rPr>
        <w:t xml:space="preserve">The margin — two figures, not one (reframed 2026-09-01)</w:t>
      </w:r>
    </w:p>
    <w:p>
      <w:pPr>
        <w:spacing w:after="160"/>
      </w:pPr>
      <w:r>
        <w:t xml:space="preserve">This case now grades on TWO explicit metrics instead of blending them into one number. See RESEARCH_LOG.md's dated addendum for the full narrative; the short version:</w:t>
      </w:r>
    </w:p>
    <w:p>
      <w:pPr>
        <w:pStyle w:val="ListParagraph"/>
        <w:numPr>
          <w:ilvl w:val="0"/>
          <w:numId w:val="2"/>
        </w:numPr>
        <w:spacing w:after="100"/>
      </w:pPr>
      <w:r>
        <w:rPr>
          <w:b/>
          <w:bCs/>
        </w:rPr>
        <w:t xml:space="preserve">PRIMARY metric — TRUE (subsidy-free) cost per acre-inch. Material + labor + pump energy only, NO EQIP reimbursement term. This isolates real engineering efficiency.</w:t>
      </w:r>
    </w:p>
    <w:p>
      <w:pPr>
        <w:pStyle w:val="ListParagraph"/>
        <w:numPr>
          <w:ilvl w:val="0"/>
          <w:numId w:val="2"/>
        </w:numPr>
        <w:spacing w:after="100"/>
      </w:pPr>
      <w:r>
        <w:rPr>
          <w:b/>
          <w:bCs/>
        </w:rPr>
        <w:t xml:space="preserve">SECONDARY metric — NET-OF-SUBSIDY cost per acre-inch. The same cost, minus each option's EQIP Practice 430 reimbursement (forfeited entirely on failed certification, Appendix E). This is what actually shows up on Denise's bid.</w:t>
      </w:r>
    </w:p>
    <w:p>
      <w:pPr>
        <w:spacing w:after="160"/>
      </w:pPr>
      <w:r>
        <w:rPr>
          <w:b/>
          <w:bCs/>
        </w:rPr>
        <w:t xml:space="preserve">Winner: B — The Margin Main, under BOTH metrics. But the two metrics do not agree on the size of the gap:</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600"/>
        <w:gridCol w:w="3000"/>
        <w:gridCol w:w="3000"/>
      </w:tblGrid>
      <w:tr>
        <w:trPr>
          <w:tblHeader/>
        </w:trPr>
        <w:tc>
          <w:tcPr>
            <w:tcW w:type="dxa" w:w="3600"/>
            <w:shd w:fill="1a3a5c" w:val="clear"/>
            <w:tcMar>
              <w:top w:type="dxa" w:w="80"/>
              <w:left w:type="dxa" w:w="100"/>
              <w:bottom w:type="dxa" w:w="80"/>
              <w:right w:type="dxa" w:w="100"/>
            </w:tcMar>
          </w:tcPr>
          <w:p>
            <w:r>
              <w:rPr>
                <w:b/>
                <w:bCs/>
                <w:color w:val="FFFFFF"/>
                <w:sz w:val="20"/>
                <w:szCs w:val="20"/>
              </w:rPr>
              <w:t xml:space="preserve"/>
            </w:r>
          </w:p>
        </w:tc>
        <w:tc>
          <w:tcPr>
            <w:tcW w:type="dxa" w:w="3000"/>
            <w:shd w:fill="1a3a5c" w:val="clear"/>
            <w:tcMar>
              <w:top w:type="dxa" w:w="80"/>
              <w:left w:type="dxa" w:w="100"/>
              <w:bottom w:type="dxa" w:w="80"/>
              <w:right w:type="dxa" w:w="100"/>
            </w:tcMar>
          </w:tcPr>
          <w:p>
            <w:r>
              <w:rPr>
                <w:b/>
                <w:bCs/>
                <w:color w:val="FFFFFF"/>
                <w:sz w:val="20"/>
                <w:szCs w:val="20"/>
              </w:rPr>
              <w:t xml:space="preserve">Option A (Lean Main)</w:t>
            </w:r>
          </w:p>
        </w:tc>
        <w:tc>
          <w:tcPr>
            <w:tcW w:type="dxa" w:w="3000"/>
            <w:shd w:fill="1a3a5c" w:val="clear"/>
            <w:tcMar>
              <w:top w:type="dxa" w:w="80"/>
              <w:left w:type="dxa" w:w="100"/>
              <w:bottom w:type="dxa" w:w="80"/>
              <w:right w:type="dxa" w:w="100"/>
            </w:tcMar>
          </w:tcPr>
          <w:p>
            <w:r>
              <w:rPr>
                <w:b/>
                <w:bCs/>
                <w:color w:val="FFFFFF"/>
                <w:sz w:val="20"/>
                <w:szCs w:val="20"/>
              </w:rPr>
              <w:t xml:space="preserve">Option B (Margin Main)</w:t>
            </w:r>
          </w:p>
        </w:tc>
      </w:tr>
      <w:tr>
        <w:tc>
          <w:tcPr>
            <w:tcW w:type="dxa" w:w="3600"/>
            <w:tcMar>
              <w:top w:type="dxa" w:w="80"/>
              <w:left w:type="dxa" w:w="100"/>
              <w:bottom w:type="dxa" w:w="80"/>
              <w:right w:type="dxa" w:w="100"/>
            </w:tcMar>
          </w:tcPr>
          <w:p>
            <w:r>
              <w:rPr>
                <w:b w:val="false"/>
                <w:bCs w:val="false"/>
                <w:color w:val="000000"/>
                <w:sz w:val="20"/>
                <w:szCs w:val="20"/>
              </w:rPr>
              <w:t xml:space="preserve">Velocity at 440 GPM</w:t>
            </w:r>
          </w:p>
        </w:tc>
        <w:tc>
          <w:tcPr>
            <w:tcW w:type="dxa" w:w="3000"/>
            <w:tcMar>
              <w:top w:type="dxa" w:w="80"/>
              <w:left w:type="dxa" w:w="100"/>
              <w:bottom w:type="dxa" w:w="80"/>
              <w:right w:type="dxa" w:w="100"/>
            </w:tcMar>
          </w:tcPr>
          <w:p>
            <w:r>
              <w:rPr>
                <w:b w:val="false"/>
                <w:bCs w:val="false"/>
                <w:color w:val="000000"/>
                <w:sz w:val="20"/>
                <w:szCs w:val="20"/>
              </w:rPr>
              <w:t xml:space="preserve">~4.99 ft/s — PASSES (ceiling 5.0, ~0.16% to spare)</w:t>
            </w:r>
          </w:p>
        </w:tc>
        <w:tc>
          <w:tcPr>
            <w:tcW w:type="dxa" w:w="3000"/>
            <w:tcMar>
              <w:top w:type="dxa" w:w="80"/>
              <w:left w:type="dxa" w:w="100"/>
              <w:bottom w:type="dxa" w:w="80"/>
              <w:right w:type="dxa" w:w="100"/>
            </w:tcMar>
          </w:tcPr>
          <w:p>
            <w:r>
              <w:rPr>
                <w:b w:val="false"/>
                <w:bCs w:val="false"/>
                <w:color w:val="000000"/>
                <w:sz w:val="20"/>
                <w:szCs w:val="20"/>
              </w:rPr>
              <w:t xml:space="preserve">~2.81 ft/s — PASSES</w:t>
            </w:r>
          </w:p>
        </w:tc>
      </w:tr>
      <w:tr>
        <w:tc>
          <w:tcPr>
            <w:tcW w:type="dxa" w:w="3600"/>
            <w:shd w:fill="F7F9FB" w:val="clear"/>
            <w:tcMar>
              <w:top w:type="dxa" w:w="80"/>
              <w:left w:type="dxa" w:w="100"/>
              <w:bottom w:type="dxa" w:w="80"/>
              <w:right w:type="dxa" w:w="100"/>
            </w:tcMar>
          </w:tcPr>
          <w:p>
            <w:r>
              <w:rPr>
                <w:b w:val="false"/>
                <w:bCs w:val="false"/>
                <w:color w:val="000000"/>
                <w:sz w:val="20"/>
                <w:szCs w:val="20"/>
              </w:rPr>
              <w:t xml:space="preserve">Installed cost (material + labor)</w:t>
            </w:r>
          </w:p>
        </w:tc>
        <w:tc>
          <w:tcPr>
            <w:tcW w:type="dxa" w:w="3000"/>
            <w:shd w:fill="F7F9FB" w:val="clear"/>
            <w:tcMar>
              <w:top w:type="dxa" w:w="80"/>
              <w:left w:type="dxa" w:w="100"/>
              <w:bottom w:type="dxa" w:w="80"/>
              <w:right w:type="dxa" w:w="100"/>
            </w:tcMar>
          </w:tcPr>
          <w:p>
            <w:r>
              <w:rPr>
                <w:b w:val="false"/>
                <w:bCs w:val="false"/>
                <w:color w:val="000000"/>
                <w:sz w:val="20"/>
                <w:szCs w:val="20"/>
              </w:rPr>
              <w:t xml:space="preserve">$39,732</w:t>
            </w:r>
          </w:p>
        </w:tc>
        <w:tc>
          <w:tcPr>
            <w:tcW w:type="dxa" w:w="3000"/>
            <w:shd w:fill="F7F9FB" w:val="clear"/>
            <w:tcMar>
              <w:top w:type="dxa" w:w="80"/>
              <w:left w:type="dxa" w:w="100"/>
              <w:bottom w:type="dxa" w:w="80"/>
              <w:right w:type="dxa" w:w="100"/>
            </w:tcMar>
          </w:tcPr>
          <w:p>
            <w:r>
              <w:rPr>
                <w:b w:val="false"/>
                <w:bCs w:val="false"/>
                <w:color w:val="000000"/>
                <w:sz w:val="20"/>
                <w:szCs w:val="20"/>
              </w:rPr>
              <w:t xml:space="preserve">$42,636</w:t>
            </w:r>
          </w:p>
        </w:tc>
      </w:tr>
      <w:tr>
        <w:tc>
          <w:tcPr>
            <w:tcW w:type="dxa" w:w="3600"/>
            <w:tcMar>
              <w:top w:type="dxa" w:w="80"/>
              <w:left w:type="dxa" w:w="100"/>
              <w:bottom w:type="dxa" w:w="80"/>
              <w:right w:type="dxa" w:w="100"/>
            </w:tcMar>
          </w:tcPr>
          <w:p>
            <w:r>
              <w:rPr>
                <w:b w:val="false"/>
                <w:bCs w:val="false"/>
                <w:color w:val="000000"/>
                <w:sz w:val="20"/>
                <w:szCs w:val="20"/>
              </w:rPr>
              <w:t xml:space="preserve">Annual pump energy cost</w:t>
            </w:r>
          </w:p>
        </w:tc>
        <w:tc>
          <w:tcPr>
            <w:tcW w:type="dxa" w:w="3000"/>
            <w:tcMar>
              <w:top w:type="dxa" w:w="80"/>
              <w:left w:type="dxa" w:w="100"/>
              <w:bottom w:type="dxa" w:w="80"/>
              <w:right w:type="dxa" w:w="100"/>
            </w:tcMar>
          </w:tcPr>
          <w:p>
            <w:r>
              <w:rPr>
                <w:b w:val="false"/>
                <w:bCs w:val="false"/>
                <w:color w:val="000000"/>
                <w:sz w:val="20"/>
                <w:szCs w:val="20"/>
              </w:rPr>
              <w:t xml:space="preserve">~$229.23/yr</w:t>
            </w:r>
          </w:p>
        </w:tc>
        <w:tc>
          <w:tcPr>
            <w:tcW w:type="dxa" w:w="3000"/>
            <w:tcMar>
              <w:top w:type="dxa" w:w="80"/>
              <w:left w:type="dxa" w:w="100"/>
              <w:bottom w:type="dxa" w:w="80"/>
              <w:right w:type="dxa" w:w="100"/>
            </w:tcMar>
          </w:tcPr>
          <w:p>
            <w:r>
              <w:rPr>
                <w:b w:val="false"/>
                <w:bCs w:val="false"/>
                <w:color w:val="000000"/>
                <w:sz w:val="20"/>
                <w:szCs w:val="20"/>
              </w:rPr>
              <w:t xml:space="preserve">~$56.47/yr</w:t>
            </w:r>
          </w:p>
        </w:tc>
      </w:tr>
      <w:tr>
        <w:tc>
          <w:tcPr>
            <w:tcW w:type="dxa" w:w="3600"/>
            <w:shd w:fill="F7F9FB" w:val="clear"/>
            <w:tcMar>
              <w:top w:type="dxa" w:w="80"/>
              <w:left w:type="dxa" w:w="100"/>
              <w:bottom w:type="dxa" w:w="80"/>
              <w:right w:type="dxa" w:w="100"/>
            </w:tcMar>
          </w:tcPr>
          <w:p>
            <w:r>
              <w:rPr>
                <w:b w:val="false"/>
                <w:bCs w:val="false"/>
                <w:color w:val="000000"/>
                <w:sz w:val="20"/>
                <w:szCs w:val="20"/>
              </w:rPr>
              <w:t xml:space="preserve">TRUE annualized cost (PRIMARY, no subsidy)</w:t>
            </w:r>
          </w:p>
        </w:tc>
        <w:tc>
          <w:tcPr>
            <w:tcW w:type="dxa" w:w="3000"/>
            <w:shd w:fill="F7F9FB" w:val="clear"/>
            <w:tcMar>
              <w:top w:type="dxa" w:w="80"/>
              <w:left w:type="dxa" w:w="100"/>
              <w:bottom w:type="dxa" w:w="80"/>
              <w:right w:type="dxa" w:w="100"/>
            </w:tcMar>
          </w:tcPr>
          <w:p>
            <w:r>
              <w:rPr>
                <w:b w:val="false"/>
                <w:bCs w:val="false"/>
                <w:color w:val="000000"/>
                <w:sz w:val="20"/>
                <w:szCs w:val="20"/>
              </w:rPr>
              <w:t xml:space="preserve">~$2,215.83/yr</w:t>
            </w:r>
          </w:p>
        </w:tc>
        <w:tc>
          <w:tcPr>
            <w:tcW w:type="dxa" w:w="3000"/>
            <w:shd w:fill="F7F9FB" w:val="clear"/>
            <w:tcMar>
              <w:top w:type="dxa" w:w="80"/>
              <w:left w:type="dxa" w:w="100"/>
              <w:bottom w:type="dxa" w:w="80"/>
              <w:right w:type="dxa" w:w="100"/>
            </w:tcMar>
          </w:tcPr>
          <w:p>
            <w:r>
              <w:rPr>
                <w:b w:val="false"/>
                <w:bCs w:val="false"/>
                <w:color w:val="000000"/>
                <w:sz w:val="20"/>
                <w:szCs w:val="20"/>
              </w:rPr>
              <w:t xml:space="preserve">~$2,188.27/yr</w:t>
            </w:r>
          </w:p>
        </w:tc>
      </w:tr>
      <w:tr>
        <w:tc>
          <w:tcPr>
            <w:tcW w:type="dxa" w:w="3600"/>
            <w:tcMar>
              <w:top w:type="dxa" w:w="80"/>
              <w:left w:type="dxa" w:w="100"/>
              <w:bottom w:type="dxa" w:w="80"/>
              <w:right w:type="dxa" w:w="100"/>
            </w:tcMar>
          </w:tcPr>
          <w:p>
            <w:r>
              <w:rPr>
                <w:b w:val="false"/>
                <w:bCs w:val="false"/>
                <w:color w:val="000000"/>
                <w:sz w:val="20"/>
                <w:szCs w:val="20"/>
              </w:rPr>
              <w:t xml:space="preserve">EQIP reimbursement</w:t>
            </w:r>
          </w:p>
        </w:tc>
        <w:tc>
          <w:tcPr>
            <w:tcW w:type="dxa" w:w="3000"/>
            <w:tcMar>
              <w:top w:type="dxa" w:w="80"/>
              <w:left w:type="dxa" w:w="100"/>
              <w:bottom w:type="dxa" w:w="80"/>
              <w:right w:type="dxa" w:w="100"/>
            </w:tcMar>
          </w:tcPr>
          <w:p>
            <w:r>
              <w:rPr>
                <w:b w:val="false"/>
                <w:bCs w:val="false"/>
                <w:color w:val="000000"/>
                <w:sz w:val="20"/>
                <w:szCs w:val="20"/>
              </w:rPr>
              <w:t xml:space="preserve">~$13,369 (certifies)</w:t>
            </w:r>
          </w:p>
        </w:tc>
        <w:tc>
          <w:tcPr>
            <w:tcW w:type="dxa" w:w="3000"/>
            <w:tcMar>
              <w:top w:type="dxa" w:w="80"/>
              <w:left w:type="dxa" w:w="100"/>
              <w:bottom w:type="dxa" w:w="80"/>
              <w:right w:type="dxa" w:w="100"/>
            </w:tcMar>
          </w:tcPr>
          <w:p>
            <w:r>
              <w:rPr>
                <w:b w:val="false"/>
                <w:bCs w:val="false"/>
                <w:color w:val="000000"/>
                <w:sz w:val="20"/>
                <w:szCs w:val="20"/>
              </w:rPr>
              <w:t xml:space="preserve">~$23,173</w:t>
            </w:r>
          </w:p>
        </w:tc>
      </w:tr>
      <w:tr>
        <w:tc>
          <w:tcPr>
            <w:tcW w:type="dxa" w:w="3600"/>
            <w:shd w:fill="F7F9FB" w:val="clear"/>
            <w:tcMar>
              <w:top w:type="dxa" w:w="80"/>
              <w:left w:type="dxa" w:w="100"/>
              <w:bottom w:type="dxa" w:w="80"/>
              <w:right w:type="dxa" w:w="100"/>
            </w:tcMar>
          </w:tcPr>
          <w:p>
            <w:r>
              <w:rPr>
                <w:b w:val="false"/>
                <w:bCs w:val="false"/>
                <w:color w:val="000000"/>
                <w:sz w:val="20"/>
                <w:szCs w:val="20"/>
              </w:rPr>
              <w:t xml:space="preserve">NET-OF-SUBSIDY annualized cost (SECONDARY)</w:t>
            </w:r>
          </w:p>
        </w:tc>
        <w:tc>
          <w:tcPr>
            <w:tcW w:type="dxa" w:w="3000"/>
            <w:shd w:fill="F7F9FB" w:val="clear"/>
            <w:tcMar>
              <w:top w:type="dxa" w:w="80"/>
              <w:left w:type="dxa" w:w="100"/>
              <w:bottom w:type="dxa" w:w="80"/>
              <w:right w:type="dxa" w:w="100"/>
            </w:tcMar>
          </w:tcPr>
          <w:p>
            <w:r>
              <w:rPr>
                <w:b w:val="false"/>
                <w:bCs w:val="false"/>
                <w:color w:val="000000"/>
                <w:sz w:val="20"/>
                <w:szCs w:val="20"/>
              </w:rPr>
              <w:t xml:space="preserve">~$1,547.38/yr</w:t>
            </w:r>
          </w:p>
        </w:tc>
        <w:tc>
          <w:tcPr>
            <w:tcW w:type="dxa" w:w="3000"/>
            <w:shd w:fill="F7F9FB" w:val="clear"/>
            <w:tcMar>
              <w:top w:type="dxa" w:w="80"/>
              <w:left w:type="dxa" w:w="100"/>
              <w:bottom w:type="dxa" w:w="80"/>
              <w:right w:type="dxa" w:w="100"/>
            </w:tcMar>
          </w:tcPr>
          <w:p>
            <w:r>
              <w:rPr>
                <w:b w:val="false"/>
                <w:bCs w:val="false"/>
                <w:color w:val="000000"/>
                <w:sz w:val="20"/>
                <w:szCs w:val="20"/>
              </w:rPr>
              <w:t xml:space="preserve">~$1,029.63/yr</w:t>
            </w:r>
          </w:p>
        </w:tc>
      </w:tr>
      <w:tr>
        <w:tc>
          <w:tcPr>
            <w:tcW w:type="dxa" w:w="3600"/>
            <w:tcMar>
              <w:top w:type="dxa" w:w="80"/>
              <w:left w:type="dxa" w:w="100"/>
              <w:bottom w:type="dxa" w:w="80"/>
              <w:right w:type="dxa" w:w="100"/>
            </w:tcMar>
          </w:tcPr>
          <w:p>
            <w:r>
              <w:rPr>
                <w:b w:val="false"/>
                <w:bCs w:val="false"/>
                <w:color w:val="000000"/>
                <w:sz w:val="20"/>
                <w:szCs w:val="20"/>
              </w:rPr>
              <w:t xml:space="preserve">Margin (B's advantage)</w:t>
            </w:r>
          </w:p>
        </w:tc>
        <w:tc>
          <w:tcPr>
            <w:tcW w:type="dxa" w:w="3000"/>
            <w:tcMar>
              <w:top w:type="dxa" w:w="80"/>
              <w:left w:type="dxa" w:w="100"/>
              <w:bottom w:type="dxa" w:w="80"/>
              <w:right w:type="dxa" w:w="100"/>
            </w:tcMar>
          </w:tcPr>
          <w:p>
            <w:r>
              <w:rPr>
                <w:b w:val="false"/>
                <w:bCs w:val="false"/>
                <w:color w:val="000000"/>
                <w:sz w:val="20"/>
                <w:szCs w:val="20"/>
              </w:rPr>
              <w:t xml:space="preserve">—</w:t>
            </w:r>
          </w:p>
        </w:tc>
        <w:tc>
          <w:tcPr>
            <w:tcW w:type="dxa" w:w="3000"/>
            <w:tcMar>
              <w:top w:type="dxa" w:w="80"/>
              <w:left w:type="dxa" w:w="100"/>
              <w:bottom w:type="dxa" w:w="80"/>
              <w:right w:type="dxa" w:w="100"/>
            </w:tcMar>
          </w:tcPr>
          <w:p>
            <w:r>
              <w:rPr>
                <w:b w:val="false"/>
                <w:bCs w:val="false"/>
                <w:color w:val="000000"/>
                <w:sz w:val="20"/>
                <w:szCs w:val="20"/>
              </w:rPr>
              <w:t xml:space="preserve">TRUE: ~1.3% · NET-OF-SUBSIDY: ~50.3%</w:t>
            </w:r>
          </w:p>
        </w:tc>
      </w:tr>
    </w:tbl>
    <w:p>
      <w:pPr>
        <w:spacing w:after="160"/>
      </w:pPr>
      <w:r>
        <w:t xml:space="preserve"/>
      </w:r>
    </w:p>
    <w:p>
      <w:pPr>
        <w:spacing w:after="160"/>
      </w:pPr>
      <w:r>
        <w:t xml:space="preserve">Why this matters — this is the case's real twist. Stripped of the EQIP subsidy entirely, the Margin Main's energy savings barely beat the Lean Main's lower material cost — a genuine ~1.3% engineering toss-up, not a landslide. The ~50.3% gap that shows up on Denise's actual bid is real money, but roughly 49 of those 50.3 percentage points come from the subsidy formula itself — EQIP Practice 430 pays per pound of pipe installed, so the heavier Margin Main earns a much bigger reimbursement (~$23,173 vs. ~$13,369) regardless of which pipe is actually more efficient to buy and run. A Hero who reports only the net-of-subsidy number has correctly priced Denise's bid but has not noticed that the number is doing something closer to “which pipe weighs more” than “which pipe is the better engineering choice.” (For the record: this reframe is a metric-framing change only — it does not touch NRCS Code 430 certification, MA1's 440 GPM, MA3's 88 acres, or any sourced figure S1-S12. The prior 50.3%-vs-~20%-target discussion, the MA1/MA3 retune history, and the balance_test_waiver are preserved in case.json/RESEARCH_LOG.md for the record — they now describe the SECONDARY metric, not the case's primary grading metric.)</w:t>
      </w:r>
    </w:p>
    <w:p>
      <w:pPr>
        <w:spacing w:after="160"/>
      </w:pPr>
      <w:r>
        <w:t xml:space="preserve">The lever that flipped: the farm's design flow rate (MA1) previously sat ~2% over the Lean Main's certified maximum of ~440.7 GPM (causing the forfeiture and the 115.8% margin); it now sits ~0.16% under that same cutoff (440 GPM), so Option A certifies. Either way, the certification question stays genuinely close and non-obvious — that closeness, not which side of the cliff MA1 lands on, is the point of D4 and D6, and is worth naming explicitly in discussion (see Socratic question 3).</w:t>
      </w:r>
    </w:p>
    <w:p>
      <w:pPr>
        <w:pStyle w:val="Heading2"/>
        <w:spacing w:after="120" w:before="220"/>
      </w:pPr>
      <w:r>
        <w:rPr>
          <w:b/>
          <w:bCs/>
          <w:color w:val="1a3a5c"/>
          <w:sz w:val="26"/>
          <w:szCs w:val="26"/>
        </w:rPr>
        <w:t xml:space="preserve">Anchor ladder</w:t>
      </w:r>
    </w:p>
    <w:p>
      <w:pPr>
        <w:pStyle w:val="Heading3"/>
        <w:spacing w:after="100" w:before="180"/>
      </w:pPr>
      <w:r>
        <w:rPr>
          <w:b/>
          <w:bCs/>
          <w:color w:val="1a3a5c"/>
          <w:sz w:val="22"/>
          <w:szCs w:val="22"/>
        </w:rPr>
        <w:t xml:space="preserve">Intro</w:t>
      </w:r>
    </w:p>
    <w:p>
      <w:pPr>
        <w:spacing w:after="160"/>
      </w:pPr>
      <w:r>
        <w:t xml:space="preserve">Frame the format: a real bid with two ways to lose (fail certification, or lose on price), not a worksheet. Name the opener: “You are Denise Okafor. Two pipe sizes circled on a spec sheet. A competing bid face-down on the tailgate. You haven't written anything under either one yet.”</w:t>
      </w:r>
    </w:p>
    <w:p>
      <w:pPr>
        <w:pStyle w:val="Heading3"/>
        <w:spacing w:after="100" w:before="180"/>
      </w:pPr>
      <w:r>
        <w:rPr>
          <w:b/>
          <w:bCs/>
          <w:color w:val="1a3a5c"/>
          <w:sz w:val="22"/>
          <w:szCs w:val="22"/>
        </w:rPr>
        <w:t xml:space="preserve">Launch</w:t>
      </w:r>
    </w:p>
    <w:p>
      <w:pPr>
        <w:spacing w:after="160"/>
      </w:pPr>
      <w:r>
        <w:t xml:space="preserve">Read the Overview aloud, stop at “doesn't write anything under either one,” and ask: “Before any numbers — a cheaper pipe that might fail a government inspection, or a pricier pipe that definitely passes. Which risk would you rather carry into a bid?”</w:t>
      </w:r>
    </w:p>
    <w:p>
      <w:pPr>
        <w:pStyle w:val="Heading3"/>
        <w:spacing w:after="100" w:before="180"/>
      </w:pPr>
      <w:r>
        <w:rPr>
          <w:b/>
          <w:bCs/>
          <w:color w:val="1a3a5c"/>
          <w:sz w:val="22"/>
          <w:szCs w:val="22"/>
        </w:rPr>
        <w:t xml:space="preserve">Anchor 1 — Take a stand and vote</w:t>
      </w:r>
    </w:p>
    <w:p>
      <w:pPr>
        <w:spacing w:after="160"/>
      </w:pPr>
      <w:r>
        <w:t xml:space="preserve">“Is anyone courageous enough to stand with the Lean Main — cheaper, but close to the line?” Count hands. “And the Margin Main — pricier, but safe?” Count hands. Record the split.</w:t>
      </w:r>
    </w:p>
    <w:p>
      <w:pPr>
        <w:pStyle w:val="Heading3"/>
        <w:spacing w:after="100" w:before="180"/>
      </w:pPr>
      <w:r>
        <w:rPr>
          <w:b/>
          <w:bCs/>
          <w:color w:val="1a3a5c"/>
          <w:sz w:val="22"/>
          <w:szCs w:val="22"/>
        </w:rPr>
        <w:t xml:space="preserve">Anchor 2 — What is the problem we're solving?</w:t>
      </w:r>
    </w:p>
    <w:p>
      <w:pPr>
        <w:spacing w:after="160"/>
      </w:pPr>
      <w:r>
        <w:t xml:space="preserve">Let confusion grow. Heroes will want to jump to “which pipe is cheaper” — push instead: “Is this actually a question about price, or about what happens to the price if a design fails certification?” The room should arrive at “we need one expression that already has the reimbursement forfeiture risk built in” before Anchor 3.</w:t>
      </w:r>
    </w:p>
    <w:p>
      <w:pPr>
        <w:pStyle w:val="Heading3"/>
        <w:spacing w:after="100" w:before="180"/>
      </w:pPr>
      <w:r>
        <w:rPr>
          <w:b/>
          <w:bCs/>
          <w:color w:val="1a3a5c"/>
          <w:sz w:val="22"/>
          <w:szCs w:val="22"/>
        </w:rPr>
        <w:t xml:space="preserve">Anchor 3 — What is the process?</w:t>
      </w:r>
    </w:p>
    <w:p>
      <w:pPr>
        <w:spacing w:after="160"/>
      </w:pPr>
      <w:r>
        <w:t xml:space="preserve">Walk the room toward: build each option's total-annualized-cost expression (D1), substitute the farm's real numbers (D2), simplify and combine like terms (D3), run the exact certification check (D4), rearrange Hazen-Williams to explore a diameter-for-energy-cost trade (D5), then find the break-even flow rate and recommend (D6).</w:t>
      </w:r>
    </w:p>
    <w:p>
      <w:pPr>
        <w:pStyle w:val="Heading3"/>
        <w:spacing w:after="100" w:before="180"/>
      </w:pPr>
      <w:r>
        <w:rPr>
          <w:b/>
          <w:bCs/>
          <w:color w:val="1a3a5c"/>
          <w:sz w:val="22"/>
          <w:szCs w:val="22"/>
        </w:rPr>
        <w:t xml:space="preserve">Anchor 4 — What don't we know?</w:t>
      </w:r>
    </w:p>
    <w:p>
      <w:pPr>
        <w:spacing w:after="160"/>
      </w:pPr>
      <w:r>
        <w:t xml:space="preserve">Surface honestly: the farm's design flow rate (MA1) is a stated scenario assumption, not a public figure — and it happens to sit only ~0.16% below the Lean Main's certified maximum. Ask: “Which number in this case, if it moved by less than 1%, would change the entire recommendation?” (Answer: MA1 — see the Twist.)</w:t>
      </w:r>
    </w:p>
    <w:p>
      <w:pPr>
        <w:pStyle w:val="Heading3"/>
        <w:spacing w:after="100" w:before="180"/>
      </w:pPr>
      <w:r>
        <w:rPr>
          <w:b/>
          <w:bCs/>
          <w:color w:val="1a3a5c"/>
          <w:sz w:val="22"/>
          <w:szCs w:val="22"/>
        </w:rPr>
        <w:t xml:space="preserve">Data Deep Dive</w:t>
      </w:r>
    </w:p>
    <w:p>
      <w:pPr>
        <w:spacing w:after="160"/>
      </w:pPr>
      <w:r>
        <w:t xml:space="preserve">Walk D1 through D6 together, building BOTH figures each time, not one blended number. Reveal the real velocity results (~4.99 ft/s vs. ~2.81 ft/s against a 5.0 ft/s ceiling), then both cost tables: TRUE cost (no subsidy) $2,215.83/yr for A vs. $2,188.27/yr for B, a ~1.3% margin; then NET-OF-SUBSIDY cost $1,547.38/yr for A vs. $1,029.63/yr for B, a ~50.3% margin. Cold-call specifically for whether a Hero ran D4's exact one-step-equation check rather than eyeballing “440 vs. about 440” as “close enough to certify,” AND whether they noticed the two margins (1.3% vs. 50.3%) don't match before you say so out loud.</w:t>
      </w:r>
    </w:p>
    <w:p>
      <w:pPr>
        <w:pStyle w:val="Heading3"/>
        <w:spacing w:after="100" w:before="180"/>
      </w:pPr>
      <w:r>
        <w:rPr>
          <w:b/>
          <w:bCs/>
          <w:color w:val="1a3a5c"/>
          <w:sz w:val="22"/>
          <w:szCs w:val="22"/>
        </w:rPr>
        <w:t xml:space="preserve">Twist — Part 1: the certification cliff</w:t>
      </w:r>
    </w:p>
    <w:p>
      <w:pPr>
        <w:spacing w:after="160"/>
      </w:pPr>
      <w:r>
        <w:t xml:space="preserve">Reveal that the farm's design flow rate (MA1, 440 GPM) sits only ~0.16% below the Lean Main's certified maximum (~440.7 GPM) — close enough that a slightly different, equally plausible farm (a few more irrigated acres, a slightly higher per-acre design rate) would push the Lean Main over the ceiling and forfeit its entire EQIP reimbursement outright. Ask: “If Denise's own farm turns out to need even 1% more flow than she assumed, what happens to her whole recommendation for Option A — not just its cost, but its eligibility?” This invalidates the reading that Option A is a safely cheaper choice — it shows the two options are exposed to genuinely different kinds of risk (a cliff-edge eligibility risk for A vs. a smoother cost picture for B).</w:t>
      </w:r>
    </w:p>
    <w:p>
      <w:pPr>
        <w:pStyle w:val="Heading3"/>
        <w:spacing w:after="100" w:before="180"/>
      </w:pPr>
      <w:r>
        <w:rPr>
          <w:b/>
          <w:bCs/>
          <w:color w:val="1a3a5c"/>
          <w:sz w:val="22"/>
          <w:szCs w:val="22"/>
        </w:rPr>
        <w:t xml:space="preserve">Twist — Part 2: the subsidy is doing almost all of the work</w:t>
      </w:r>
    </w:p>
    <w:p>
      <w:pPr>
        <w:spacing w:after="160"/>
      </w:pPr>
      <w:r>
        <w:t xml:space="preserve">This is the case's real twist, and it should land second, after Part 1: ask the room to recompute both options' cost WITHOUT the EQIP reimbursement term at all — just material, labor, and energy. That true, subsidy-free gap is only ~1.3%, not 50.3%. Ask directly: “You just computed two different margins for the same two pipes. Why are they so different, and which one is Denise actually being paid on?” Land the mechanism explicitly: EQIP Practice 430 reimburses by the pound of pipe installed (Appendix E), not by efficiency — so the heavier Margin Main earns a reimbursement roughly $9,800 bigger than the Lean Main's, regardless of which pipe is actually the better engineering choice. Roughly 49 of the 50.3 percentage points in the net-of-subsidy gap come from that subsidy formula, not from real efficiency. Ask: “If you were only handed the net-of-subsidy number — the one that shows up on the bid — would you have known you were being nudged by a subsidy formula rather than by which pipe is actually better?” This does not reverse the recommendation (B still wins on both metrics) — it reframes why B wins, and by how much a government payment formula, rather than physics, is responsible for the size of that margin.</w:t>
      </w:r>
    </w:p>
    <w:p>
      <w:pPr>
        <w:pStyle w:val="Heading3"/>
        <w:spacing w:after="100" w:before="180"/>
      </w:pPr>
      <w:r>
        <w:rPr>
          <w:b/>
          <w:bCs/>
          <w:color w:val="1a3a5c"/>
          <w:sz w:val="22"/>
          <w:szCs w:val="22"/>
        </w:rPr>
        <w:t xml:space="preserve">Close</w:t>
      </w:r>
    </w:p>
    <w:p>
      <w:pPr>
        <w:spacing w:after="160"/>
      </w:pPr>
      <w:r>
        <w:t xml:space="preserve">Re-vote. “Did we ask the right question at Anchor 2? Was this ever really about which pipe is cheaper, or about which pipe is cheaper and eligible — and once you strip the subsidy out, how much of ‘cheaper’ was ever really about the pipe at all?”</w:t>
      </w:r>
    </w:p>
    <w:p>
      <w:pPr>
        <w:pStyle w:val="Heading3"/>
        <w:spacing w:after="100" w:before="180"/>
      </w:pPr>
      <w:r>
        <w:rPr>
          <w:b/>
          <w:bCs/>
          <w:color w:val="1a3a5c"/>
          <w:sz w:val="22"/>
          <w:szCs w:val="22"/>
        </w:rPr>
        <w:t xml:space="preserve">Lessons Learned</w:t>
      </w:r>
    </w:p>
    <w:p>
      <w:pPr>
        <w:pStyle w:val="ListParagraph"/>
        <w:numPr>
          <w:ilvl w:val="0"/>
          <w:numId w:val="2"/>
        </w:numPr>
        <w:spacing w:after="100"/>
      </w:pPr>
      <w:r>
        <w:t xml:space="preserve">An all-or-nothing eligibility rule (Code 430's forfeiture condition) can make a “cheaper” option the more expensive one in expectation — the pitfall is stopping at sticker price.</w:t>
      </w:r>
    </w:p>
    <w:p>
      <w:pPr>
        <w:pStyle w:val="ListParagraph"/>
        <w:numPr>
          <w:ilvl w:val="0"/>
          <w:numId w:val="2"/>
        </w:numPr>
        <w:spacing w:after="100"/>
      </w:pPr>
      <w:r>
        <w:t xml:space="preserve">A design margin of 0.16% is not the same as “safely certifies” — D4's exact check exists precisely because eyeballing a close call is unreliable.</w:t>
      </w:r>
    </w:p>
    <w:p>
      <w:pPr>
        <w:pStyle w:val="ListParagraph"/>
        <w:numPr>
          <w:ilvl w:val="0"/>
          <w:numId w:val="2"/>
        </w:numPr>
        <w:spacing w:after="100"/>
      </w:pPr>
      <w:r>
        <w:t xml:space="preserve">EQIP's pay-by-weight structure means the cheaper, lighter pipe also earns a smaller reimbursement — two effects that look independent on the spec sheet actually compound in the same direction against the Lean Main.</w:t>
      </w:r>
    </w:p>
    <w:p>
      <w:pPr>
        <w:pStyle w:val="ListParagraph"/>
        <w:numPr>
          <w:ilvl w:val="0"/>
          <w:numId w:val="2"/>
        </w:numPr>
        <w:spacing w:after="100"/>
      </w:pPr>
      <w:r>
        <w:t xml:space="preserve">A subsidy that pays by weight, not by efficiency, can manufacture almost the entire “gap” between two options on paper (~49 of ~50.3 points here) — the true, subsidy-free efficiency gap (~1.3%) is a genuinely different, much smaller number, and a recommendation that never separates the two has quietly let a government payment formula do the deciding instead of engineering judgment.</w:t>
      </w:r>
    </w:p>
    <w:p>
      <w:pPr>
        <w:pStyle w:val="Heading2"/>
        <w:spacing w:after="120" w:before="220"/>
      </w:pPr>
      <w:r>
        <w:rPr>
          <w:b/>
          <w:bCs/>
          <w:color w:val="1a3a5c"/>
          <w:sz w:val="26"/>
          <w:szCs w:val="26"/>
        </w:rPr>
        <w:t xml:space="preserve">45-Minute Socratic Plan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700"/>
        <w:gridCol w:w="7800"/>
      </w:tblGrid>
      <w:tr>
        <w:trPr>
          <w:tblHeader/>
        </w:trPr>
        <w:tc>
          <w:tcPr>
            <w:tcW w:type="dxa" w:w="1700"/>
            <w:shd w:fill="1a3a5c" w:val="clear"/>
            <w:tcMar>
              <w:top w:type="dxa" w:w="80"/>
              <w:left w:type="dxa" w:w="100"/>
              <w:bottom w:type="dxa" w:w="80"/>
              <w:right w:type="dxa" w:w="100"/>
            </w:tcMar>
          </w:tcPr>
          <w:p>
            <w:r>
              <w:rPr>
                <w:b/>
                <w:bCs/>
                <w:color w:val="FFFFFF"/>
                <w:sz w:val="20"/>
                <w:szCs w:val="20"/>
              </w:rPr>
              <w:t xml:space="preserve">Time</w:t>
            </w:r>
          </w:p>
        </w:tc>
        <w:tc>
          <w:tcPr>
            <w:tcW w:type="dxa" w:w="7800"/>
            <w:shd w:fill="1a3a5c" w:val="clear"/>
            <w:tcMar>
              <w:top w:type="dxa" w:w="80"/>
              <w:left w:type="dxa" w:w="100"/>
              <w:bottom w:type="dxa" w:w="80"/>
              <w:right w:type="dxa" w:w="100"/>
            </w:tcMar>
          </w:tcPr>
          <w:p>
            <w:r>
              <w:rPr>
                <w:b/>
                <w:bCs/>
                <w:color w:val="FFFFFF"/>
                <w:sz w:val="20"/>
                <w:szCs w:val="20"/>
              </w:rPr>
              <w:t xml:space="preserve">Move</w:t>
            </w:r>
          </w:p>
        </w:tc>
      </w:tr>
      <w:tr>
        <w:tc>
          <w:tcPr>
            <w:tcW w:type="dxa" w:w="1700"/>
            <w:tcMar>
              <w:top w:type="dxa" w:w="80"/>
              <w:left w:type="dxa" w:w="100"/>
              <w:bottom w:type="dxa" w:w="80"/>
              <w:right w:type="dxa" w:w="100"/>
            </w:tcMar>
          </w:tcPr>
          <w:p>
            <w:r>
              <w:rPr>
                <w:b w:val="false"/>
                <w:bCs w:val="false"/>
                <w:color w:val="000000"/>
                <w:sz w:val="20"/>
                <w:szCs w:val="20"/>
              </w:rPr>
              <w:t xml:space="preserve">0:00–3:00</w:t>
            </w:r>
          </w:p>
        </w:tc>
        <w:tc>
          <w:tcPr>
            <w:tcW w:type="dxa" w:w="7800"/>
            <w:tcMar>
              <w:top w:type="dxa" w:w="80"/>
              <w:left w:type="dxa" w:w="100"/>
              <w:bottom w:type="dxa" w:w="80"/>
              <w:right w:type="dxa" w:w="100"/>
            </w:tcMar>
          </w:tcPr>
          <w:p>
            <w:r>
              <w:rPr>
                <w:b w:val="false"/>
                <w:bCs w:val="false"/>
                <w:color w:val="000000"/>
                <w:sz w:val="20"/>
                <w:szCs w:val="20"/>
              </w:rPr>
              <w:t xml:space="preserve">Cold-call launch (Intro/Launch above), 30-second commitments, stand/sit vote (Anchor 1) — no explanation.</w:t>
            </w:r>
          </w:p>
        </w:tc>
      </w:tr>
      <w:tr>
        <w:tc>
          <w:tcPr>
            <w:tcW w:type="dxa" w:w="1700"/>
            <w:shd w:fill="F7F9FB" w:val="clear"/>
            <w:tcMar>
              <w:top w:type="dxa" w:w="80"/>
              <w:left w:type="dxa" w:w="100"/>
              <w:bottom w:type="dxa" w:w="80"/>
              <w:right w:type="dxa" w:w="100"/>
            </w:tcMar>
          </w:tcPr>
          <w:p>
            <w:r>
              <w:rPr>
                <w:b w:val="false"/>
                <w:bCs w:val="false"/>
                <w:color w:val="000000"/>
                <w:sz w:val="20"/>
                <w:szCs w:val="20"/>
              </w:rPr>
              <w:t xml:space="preserve">3:00–10:00</w:t>
            </w:r>
          </w:p>
        </w:tc>
        <w:tc>
          <w:tcPr>
            <w:tcW w:type="dxa" w:w="7800"/>
            <w:shd w:fill="F7F9FB" w:val="clear"/>
            <w:tcMar>
              <w:top w:type="dxa" w:w="80"/>
              <w:left w:type="dxa" w:w="100"/>
              <w:bottom w:type="dxa" w:w="80"/>
              <w:right w:type="dxa" w:w="100"/>
            </w:tcMar>
          </w:tcPr>
          <w:p>
            <w:r>
              <w:rPr>
                <w:b w:val="false"/>
                <w:bCs w:val="false"/>
                <w:color w:val="000000"/>
                <w:sz w:val="20"/>
                <w:szCs w:val="20"/>
              </w:rPr>
              <w:t xml:space="preserve">Position defense: “Convince us why it's better, not just cheaper” (Anchor 2).</w:t>
            </w:r>
          </w:p>
        </w:tc>
      </w:tr>
      <w:tr>
        <w:tc>
          <w:tcPr>
            <w:tcW w:type="dxa" w:w="1700"/>
            <w:tcMar>
              <w:top w:type="dxa" w:w="80"/>
              <w:left w:type="dxa" w:w="100"/>
              <w:bottom w:type="dxa" w:w="80"/>
              <w:right w:type="dxa" w:w="100"/>
            </w:tcMar>
          </w:tcPr>
          <w:p>
            <w:r>
              <w:rPr>
                <w:b w:val="false"/>
                <w:bCs w:val="false"/>
                <w:color w:val="000000"/>
                <w:sz w:val="20"/>
                <w:szCs w:val="20"/>
              </w:rPr>
              <w:t xml:space="preserve">10:00–15:00</w:t>
            </w:r>
          </w:p>
        </w:tc>
        <w:tc>
          <w:tcPr>
            <w:tcW w:type="dxa" w:w="7800"/>
            <w:tcMar>
              <w:top w:type="dxa" w:w="80"/>
              <w:left w:type="dxa" w:w="100"/>
              <w:bottom w:type="dxa" w:w="80"/>
              <w:right w:type="dxa" w:w="100"/>
            </w:tcMar>
          </w:tcPr>
          <w:p>
            <w:r>
              <w:rPr>
                <w:b w:val="false"/>
                <w:bCs w:val="false"/>
                <w:color w:val="000000"/>
                <w:sz w:val="20"/>
                <w:szCs w:val="20"/>
              </w:rPr>
              <w:t xml:space="preserve">Pressure-test the models: process and open assumptions (Anchors 3–4) — what's real, sourced Code 430 physics vs. a stated scenario flow rate.</w:t>
            </w:r>
          </w:p>
        </w:tc>
      </w:tr>
      <w:tr>
        <w:tc>
          <w:tcPr>
            <w:tcW w:type="dxa" w:w="1700"/>
            <w:shd w:fill="F7F9FB" w:val="clear"/>
            <w:tcMar>
              <w:top w:type="dxa" w:w="80"/>
              <w:left w:type="dxa" w:w="100"/>
              <w:bottom w:type="dxa" w:w="80"/>
              <w:right w:type="dxa" w:w="100"/>
            </w:tcMar>
          </w:tcPr>
          <w:p>
            <w:r>
              <w:rPr>
                <w:b w:val="false"/>
                <w:bCs w:val="false"/>
                <w:color w:val="000000"/>
                <w:sz w:val="20"/>
                <w:szCs w:val="20"/>
              </w:rPr>
              <w:t xml:space="preserve">15:00–25:00</w:t>
            </w:r>
          </w:p>
        </w:tc>
        <w:tc>
          <w:tcPr>
            <w:tcW w:type="dxa" w:w="7800"/>
            <w:shd w:fill="F7F9FB" w:val="clear"/>
            <w:tcMar>
              <w:top w:type="dxa" w:w="80"/>
              <w:left w:type="dxa" w:w="100"/>
              <w:bottom w:type="dxa" w:w="80"/>
              <w:right w:type="dxa" w:w="100"/>
            </w:tcMar>
          </w:tcPr>
          <w:p>
            <w:r>
              <w:rPr>
                <w:b w:val="false"/>
                <w:bCs w:val="false"/>
                <w:color w:val="000000"/>
                <w:sz w:val="20"/>
                <w:szCs w:val="20"/>
              </w:rPr>
              <w:t xml:space="preserve">Data Deep Dive — D1–D6 together, reveal BOTH margins: ~1.3% true vs. ~50.3% net-of-subsidy.</w:t>
            </w:r>
          </w:p>
        </w:tc>
      </w:tr>
      <w:tr>
        <w:tc>
          <w:tcPr>
            <w:tcW w:type="dxa" w:w="1700"/>
            <w:tcMar>
              <w:top w:type="dxa" w:w="80"/>
              <w:left w:type="dxa" w:w="100"/>
              <w:bottom w:type="dxa" w:w="80"/>
              <w:right w:type="dxa" w:w="100"/>
            </w:tcMar>
          </w:tcPr>
          <w:p>
            <w:r>
              <w:rPr>
                <w:b w:val="false"/>
                <w:bCs w:val="false"/>
                <w:color w:val="000000"/>
                <w:sz w:val="20"/>
                <w:szCs w:val="20"/>
              </w:rPr>
              <w:t xml:space="preserve">25:00</w:t>
            </w:r>
          </w:p>
        </w:tc>
        <w:tc>
          <w:tcPr>
            <w:tcW w:type="dxa" w:w="7800"/>
            <w:tcMar>
              <w:top w:type="dxa" w:w="80"/>
              <w:left w:type="dxa" w:w="100"/>
              <w:bottom w:type="dxa" w:w="80"/>
              <w:right w:type="dxa" w:w="100"/>
            </w:tcMar>
          </w:tcPr>
          <w:p>
            <w:r>
              <w:rPr>
                <w:b w:val="false"/>
                <w:bCs w:val="false"/>
                <w:color w:val="000000"/>
                <w:sz w:val="20"/>
                <w:szCs w:val="20"/>
              </w:rPr>
              <w:t xml:space="preserve">DROP THE TWIST, TWO PARTS — (1) MA1's 0.16% cliff-edge certification margin; (2) the subsidy formula alone explains ~49 of the ~50.3 points, delivered slowly.</w:t>
            </w:r>
          </w:p>
        </w:tc>
      </w:tr>
      <w:tr>
        <w:tc>
          <w:tcPr>
            <w:tcW w:type="dxa" w:w="1700"/>
            <w:shd w:fill="F7F9FB" w:val="clear"/>
            <w:tcMar>
              <w:top w:type="dxa" w:w="80"/>
              <w:left w:type="dxa" w:w="100"/>
              <w:bottom w:type="dxa" w:w="80"/>
              <w:right w:type="dxa" w:w="100"/>
            </w:tcMar>
          </w:tcPr>
          <w:p>
            <w:r>
              <w:rPr>
                <w:b w:val="false"/>
                <w:bCs w:val="false"/>
                <w:color w:val="000000"/>
                <w:sz w:val="20"/>
                <w:szCs w:val="20"/>
              </w:rPr>
              <w:t xml:space="preserve">25:00–30:00</w:t>
            </w:r>
          </w:p>
        </w:tc>
        <w:tc>
          <w:tcPr>
            <w:tcW w:type="dxa" w:w="7800"/>
            <w:shd w:fill="F7F9FB" w:val="clear"/>
            <w:tcMar>
              <w:top w:type="dxa" w:w="80"/>
              <w:left w:type="dxa" w:w="100"/>
              <w:bottom w:type="dxa" w:w="80"/>
              <w:right w:type="dxa" w:w="100"/>
            </w:tcMar>
          </w:tcPr>
          <w:p>
            <w:r>
              <w:rPr>
                <w:b w:val="false"/>
                <w:bCs w:val="false"/>
                <w:color w:val="000000"/>
                <w:sz w:val="20"/>
                <w:szCs w:val="20"/>
              </w:rPr>
              <w:t xml:space="preserve">Immediate recommit — who reverses? “What just broke — the cost comparison, the certification, or your trust in which number was the ‘real’ one?”</w:t>
            </w:r>
          </w:p>
        </w:tc>
      </w:tr>
      <w:tr>
        <w:tc>
          <w:tcPr>
            <w:tcW w:type="dxa" w:w="1700"/>
            <w:tcMar>
              <w:top w:type="dxa" w:w="80"/>
              <w:left w:type="dxa" w:w="100"/>
              <w:bottom w:type="dxa" w:w="80"/>
              <w:right w:type="dxa" w:w="100"/>
            </w:tcMar>
          </w:tcPr>
          <w:p>
            <w:r>
              <w:rPr>
                <w:b w:val="false"/>
                <w:bCs w:val="false"/>
                <w:color w:val="000000"/>
                <w:sz w:val="20"/>
                <w:szCs w:val="20"/>
              </w:rPr>
              <w:t xml:space="preserve">30:00–40:00</w:t>
            </w:r>
          </w:p>
        </w:tc>
        <w:tc>
          <w:tcPr>
            <w:tcW w:type="dxa" w:w="7800"/>
            <w:tcMar>
              <w:top w:type="dxa" w:w="80"/>
              <w:left w:type="dxa" w:w="100"/>
              <w:bottom w:type="dxa" w:w="80"/>
              <w:right w:type="dxa" w:w="100"/>
            </w:tcMar>
          </w:tcPr>
          <w:p>
            <w:r>
              <w:rPr>
                <w:b w:val="false"/>
                <w:bCs w:val="false"/>
                <w:color w:val="000000"/>
                <w:sz w:val="20"/>
                <w:szCs w:val="20"/>
              </w:rPr>
              <w:t xml:space="preserve">Threaded deep conflict, three named threads: (1) sticker price vs. all-or-nothing reimbursement risk; (2) a smooth 50.3% net-of-subsidy gap vs. a cliff-edge eligibility risk; (3) the ~1.3% true efficiency gap vs. the ~50.3% number that actually lands on the bid.</w:t>
            </w:r>
          </w:p>
        </w:tc>
      </w:tr>
      <w:tr>
        <w:tc>
          <w:tcPr>
            <w:tcW w:type="dxa" w:w="1700"/>
            <w:shd w:fill="F7F9FB" w:val="clear"/>
            <w:tcMar>
              <w:top w:type="dxa" w:w="80"/>
              <w:left w:type="dxa" w:w="100"/>
              <w:bottom w:type="dxa" w:w="80"/>
              <w:right w:type="dxa" w:w="100"/>
            </w:tcMar>
          </w:tcPr>
          <w:p>
            <w:r>
              <w:rPr>
                <w:b w:val="false"/>
                <w:bCs w:val="false"/>
                <w:color w:val="000000"/>
                <w:sz w:val="20"/>
                <w:szCs w:val="20"/>
              </w:rPr>
              <w:t xml:space="preserve">40:00–45:00</w:t>
            </w:r>
          </w:p>
        </w:tc>
        <w:tc>
          <w:tcPr>
            <w:tcW w:type="dxa" w:w="7800"/>
            <w:shd w:fill="F7F9FB" w:val="clear"/>
            <w:tcMar>
              <w:top w:type="dxa" w:w="80"/>
              <w:left w:type="dxa" w:w="100"/>
              <w:bottom w:type="dxa" w:w="80"/>
              <w:right w:type="dxa" w:w="100"/>
            </w:tcMar>
          </w:tcPr>
          <w:p>
            <w:r>
              <w:rPr>
                <w:b w:val="false"/>
                <w:bCs w:val="false"/>
                <w:color w:val="000000"/>
                <w:sz w:val="20"/>
                <w:szCs w:val="20"/>
              </w:rPr>
              <w:t xml:space="preserve">Close, re-vote, Lessons Learned.</w:t>
            </w:r>
          </w:p>
        </w:tc>
      </w:tr>
    </w:tbl>
    <w:p>
      <w:pPr>
        <w:pStyle w:val="Heading2"/>
        <w:spacing w:after="120" w:before="220"/>
      </w:pPr>
      <w:r>
        <w:rPr>
          <w:b/>
          <w:bCs/>
          <w:color w:val="1a3a5c"/>
          <w:sz w:val="26"/>
          <w:szCs w:val="26"/>
        </w:rPr>
        <w:t xml:space="preserve">Socratic questions</w:t>
      </w:r>
    </w:p>
    <w:p>
      <w:pPr>
        <w:pStyle w:val="ListParagraph"/>
        <w:numPr>
          <w:ilvl w:val="0"/>
          <w:numId w:val="3"/>
        </w:numPr>
        <w:spacing w:after="120"/>
      </w:pPr>
      <w:r>
        <w:t xml:space="preserve">Your D1 expression for each option includes a term for the EQIP reimbursement. What happens to that term — not just its value, but its very presence in the expression — if a design's velocity crosses Code 430's ceiling?</w:t>
      </w:r>
    </w:p>
    <w:p>
      <w:pPr>
        <w:pStyle w:val="ListParagraph"/>
        <w:numPr>
          <w:ilvl w:val="0"/>
          <w:numId w:val="3"/>
        </w:numPr>
        <w:spacing w:after="120"/>
      </w:pPr>
      <w:r>
        <w:t xml:space="preserve">The Lean Main costs less per foot and weighs less per foot than the Margin Main. Does “weighs less” cut in the same direction as “costs less” once you look at how EQIP actually pays out, or does it work against the Lean Main in a way the sticker price alone doesn't show?</w:t>
      </w:r>
    </w:p>
    <w:p>
      <w:pPr>
        <w:pStyle w:val="ListParagraph"/>
        <w:numPr>
          <w:ilvl w:val="0"/>
          <w:numId w:val="3"/>
        </w:numPr>
        <w:spacing w:after="120"/>
      </w:pPr>
      <w:r>
        <w:t xml:space="preserve">Your D4 certification check gives each option a maximum flow rate before it crosses the velocity ceiling. How much margin does each option actually have between that maximum and the farm's real required flow rate — and does either option's margin look uncomfortably thin?</w:t>
      </w:r>
    </w:p>
    <w:p>
      <w:pPr>
        <w:pStyle w:val="ListParagraph"/>
        <w:numPr>
          <w:ilvl w:val="0"/>
          <w:numId w:val="3"/>
        </w:numPr>
        <w:spacing w:after="120"/>
      </w:pPr>
      <w:r>
        <w:t xml:space="preserve">Your D6 break-even point tells you the flow rate at which both options cost the same. Is the farm's actual required flow rate close to that break-even point, or far from it — and what does that tell you about how confident Denise should be in her recommendation?</w:t>
      </w:r>
    </w:p>
    <w:p>
      <w:pPr>
        <w:pStyle w:val="ListParagraph"/>
        <w:numPr>
          <w:ilvl w:val="0"/>
          <w:numId w:val="3"/>
        </w:numPr>
        <w:spacing w:after="120"/>
      </w:pPr>
      <w:r>
        <w:t xml:space="preserve">If the farm's required flow rate turned out to be somewhat higher than Appendix A states, which option would that change hurt more — the one with less certification margin, or the one with a thinner cost advantage?</w:t>
      </w:r>
    </w:p>
    <w:p>
      <w:pPr>
        <w:pStyle w:val="ListParagraph"/>
        <w:numPr>
          <w:ilvl w:val="0"/>
          <w:numId w:val="3"/>
        </w:numPr>
        <w:spacing w:after="120"/>
      </w:pPr>
      <w:r>
        <w:t xml:space="preserve">D1 asks you to build a true (subsidy-free) expression and a net-of-subsidy expression for each option. Once you evaluate both, the two margins between the options are very different sizes. What has to be true about EQIP's payment formula for that to happen — and does it change which option Denise should recommend, or only how she should explain the size of the gap?</w:t>
      </w:r>
    </w:p>
    <w:p>
      <w:pPr>
        <w:pStyle w:val="Heading2"/>
        <w:spacing w:after="120" w:before="220"/>
      </w:pPr>
      <w:r>
        <w:rPr>
          <w:b/>
          <w:bCs/>
          <w:color w:val="1a3a5c"/>
          <w:sz w:val="26"/>
          <w:szCs w:val="26"/>
        </w:rPr>
        <w:t xml:space="preserve">The trap</w:t>
      </w:r>
    </w:p>
    <w:p>
      <w:pPr>
        <w:spacing w:after="160"/>
      </w:pPr>
      <w:r>
        <w:t xml:space="preserve">Heroes will compare the two options' material cost per foot directly — the number printed on the distributor's price sheet — and conclude the cheaper number is the better spec. That comparison silently ignores two things Code 430 and EQIP both make load-bearing: a design that fails the velocity ceiling forfeits its entire reimbursement, not a prorated share of it, so “cheaper per foot” can flip to “more expensive once you're paying for a design that doesn't certify”; and EQIP pays by weight, not by sticker price, so the cheaper pipe also earns a smaller reimbursement, narrowing exactly the gap the trap assumes is wide. A Hero who never runs D4's certification check against the farm's real required flow rate has not actually found out whether the “cheap” option is even eligible for the reimbursement its own cost expression assumes.</w:t>
      </w:r>
    </w:p>
    <w:p>
      <w:pPr>
        <w:spacing w:after="160"/>
      </w:pPr>
      <w:r>
        <w:rPr>
          <w:b/>
          <w:bCs/>
        </w:rPr>
        <w:t xml:space="preserve">A second, subtler trap (the reframe's twist): a Hero who builds ONLY the net-of-subsidy expression (D1(ii)) and reports its ~50.3% margin has a correct answer to “which bid number wins,” but not to “which pipe is actually the better engineering choice” — and may not even notice the difference, because nothing in a single blended cost figure flags that ~49 of its ~50.3 percentage points come from a per-pound payment formula rather than from material cost or energy efficiency. The case now requires D1(i)'s true, subsidy-free expression specifically so that gap cannot hide.</w:t>
      </w:r>
    </w:p>
    <w:p>
      <w:pPr>
        <w:pStyle w:val="Heading2"/>
        <w:spacing w:after="120" w:before="220"/>
      </w:pPr>
      <w:r>
        <w:rPr>
          <w:b/>
          <w:bCs/>
          <w:color w:val="1a3a5c"/>
          <w:sz w:val="26"/>
          <w:szCs w:val="26"/>
        </w:rPr>
        <w:t xml:space="preserve">Sensitivity note</w:t>
      </w:r>
    </w:p>
    <w:p>
      <w:pPr>
        <w:spacing w:after="160"/>
      </w:pPr>
      <w:r>
        <w:t xml:space="preserve">Confirmed, not just anticipated: Appendix A's design flow rate (MA1, a stated Modeling Assumption, retuned 2026-09-01 to 440 GPM — no citable “typical mainline design flow” figure exists for a specific fictional farm) sits only ~0.16% below the Lean Main's certified maximum of ~440.7 GPM. This single figure flips Option A from disqualified to certifiable, and — because Code 430's forfeiture rule is all-or-nothing — that flip alone is responsible for most of the swing from the case's original ~115.8% margin down to the ~50.3% net-of-subsidy margin (now the SECONDARY metric). This is exactly the kind of single load-bearing figure Modeling Assumptions discipline exists to surface honestly rather than bury: MA1's table row in case.md marks its sensitivity as HIGH for this reason. Since the 2026-09-01 reframe, MA1's certification-cliff sensitivity applies to the SECONDARY (net-of-subsidy) metric and to D4, not to the case's new PRIMARY metric — the true, subsidy-free cost comparison has no reimbursement term, so it computes the same ~1.3% margin regardless of which side of MA1's certification cliff the Lean Main lands on.</w:t>
      </w:r>
    </w:p>
    <w:p>
      <w:pPr>
        <w:spacing w:after="160"/>
      </w:pPr>
      <w:r>
        <w:rPr>
          <w:b/>
          <w:bCs/>
        </w:rPr>
        <w:t xml:space="preserve">A second, separate fragility — expected, given how thin the primary margin already is. Tier 2 probe 5 (2026-09-01, ±50% flex) found that dropping either MA1 (design flow rate) or MA5 (annual operating hours) by 50% flips the PRIMARY metric's winner from B to A. Re-deriving the actual flip points in sensitivity_model.py shows the case doesn't even need a swing that large: MA1 flips the primary winner at only about -5.9% (440 → ~414.0 GPM), and MA5 flips it at about -16.0% (1,200 → ~1,008.6 hr/yr). Neither figure is fictional or unresearchable — both are real, sourced Modeling Assumptions (Appendix A) — so this isn't a case of an unknowable dial driving the result. It's the flip side of the coin the reframe itself surfaced: once the EQIP subsidy is stripped out, Option B's win over Option A comes down to Hazen-Williams's steep diameter sensitivity (~diameter^-4.87) just barely outweighing its higher material cost. A margin that thin (~1.3%) is supposed to be this touchy to its own inputs — a verdict this close to a coin flip that DIDN'T move under a reasonable swing in flow rate or operating hours would be the surprising result, not the other way around. Treat this as confirmation of the “genuine engineering toss-up” framing in the margin section above, not as a defect to fix by retuning MA1/MA5 — disclosing an unstable verdict is the point, not eliminating it when the instability is itself informative. See case.json.sensitivity_disclosure for the full documented entries.</w:t>
      </w:r>
    </w:p>
    <w:p>
      <w:pPr>
        <w:pStyle w:val="Heading2"/>
        <w:spacing w:after="120" w:before="220"/>
      </w:pPr>
      <w:r>
        <w:rPr>
          <w:b/>
          <w:bCs/>
          <w:color w:val="1a3a5c"/>
          <w:sz w:val="26"/>
          <w:szCs w:val="26"/>
        </w:rPr>
        <w:t xml:space="preserve">Facilitator note — sensitivity</w:t>
      </w:r>
    </w:p>
    <w:p>
      <w:pPr>
        <w:spacing w:after="160"/>
      </w:pPr>
      <w:r>
        <w:t xml:space="preserve">NONE. This is routine agricultural-engineering and cost-share economics — no protected-subject flag applies, per the approved concept sheet.</w:t>
      </w:r>
    </w:p>
    <w:p>
      <w:pPr>
        <w:pStyle w:val="Heading2"/>
        <w:spacing w:after="120" w:before="220"/>
      </w:pPr>
      <w:r>
        <w:rPr>
          <w:b/>
          <w:bCs/>
          <w:color w:val="1a3a5c"/>
          <w:sz w:val="26"/>
          <w:szCs w:val="26"/>
        </w:rPr>
        <w:t xml:space="preserve">Facilitator note — new_coverage status (flag for human review)</w:t>
      </w:r>
    </w:p>
    <w:p>
      <w:pPr>
        <w:spacing w:after="160"/>
      </w:pPr>
      <w:r>
        <w:t xml:space="preserve">This case's new_coverage[] is empty. Verified live against readmodel/standards_spine.json on 2026-09-01: all 11 claimed skills already have coverage elsewhere in the corpus (n ranging from 1 to 10); none is at n=0. The concept sheet's own description — “closing all five of the group's n=1 skills” — is accurate on its own terms (five of the eleven do sit at n=1 today and this case would move them to n=2), but the standard n==0 test for new_coverage[] is not an n==1 test. See case.json.reinforcement_note and LEARNING_GOALS.md for the full detail. This case was written per explicit instruction with locked content regardless of this finding; whether to accept it as a documented reinforcement case, fold in a genuinely n=0 skill to legitimize new_coverage[], or shelve it, is a decision for a human, not this write pass.</w:t>
      </w:r>
    </w:p>
    <w:p>
      <w:pPr>
        <w:pStyle w:val="Heading2"/>
        <w:spacing w:after="120" w:before="220"/>
      </w:pPr>
      <w:r>
        <w:rPr>
          <w:b/>
          <w:bCs/>
          <w:color w:val="1a3a5c"/>
          <w:sz w:val="26"/>
          <w:szCs w:val="26"/>
        </w:rPr>
        <w:t xml:space="preserve">What a strong defense sounds like</w:t>
      </w:r>
    </w:p>
    <w:p>
      <w:pPr>
        <w:spacing w:after="160"/>
      </w:pPr>
      <w:r>
        <w:t xml:space="preserve">A strong Hero defense does not simply declare a winner — it shows both cost comparisons (true and net-of-subsidy) as separate, correctly-labeled expressions, states plainly which of the two is doing the work in the final recommendation, and explains in the student's own words why EQIP's per-pound payment structure can inflate a small engineering edge into a much larger bid-level gap. It runs D4's exact certification check rather than eyeballing the flow rate against the ceiling, and it treats the ~0.16% certification margin as a real risk worth naming, not a rounding error. The strongest responses connect D6's break-even point back to the farm's actual required flow rate and are explicit about how many percentage points of the net-of-subsidy margin are attributable to the subsidy formula itself versus true efficiency. There is no single right numeric answer here beyond the two computed metrics — reasoning quality is what separates a strong response from a technically-correct-but-incurious one.</w:t>
      </w:r>
    </w:p>
    <w:p>
      <w:pPr>
        <w:pStyle w:val="Heading2"/>
        <w:spacing w:after="120" w:before="220"/>
      </w:pPr>
      <w:r>
        <w:rPr>
          <w:b/>
          <w:bCs/>
          <w:color w:val="1a3a5c"/>
          <w:sz w:val="26"/>
          <w:szCs w:val="26"/>
        </w:rPr>
        <w:t xml:space="preserve">Skills this case exercises</w:t>
      </w:r>
    </w:p>
    <w:p>
      <w:pPr>
        <w:spacing w:after="160"/>
      </w:pPr>
      <w:r>
        <w:t xml:space="preserve">Advanced Operations/Variables — Variable, Constant, Coefficient, Term, Like Terms, Distributive Property, and the 5 how-to equation-solving/evaluation skills: evaluating a variable expression (substitution), adding/subtracting expressions with variables, solving a one-step equation, solving a multi-step equation with the variable on one side, and solving a multi-step equation with the variable on both sides (see case.json.standards[] for exact ids). new_coverage[] is empty by design — see the reinforcement note above.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abstractNum w:abstractNumId="3" w15:restartNumberingAfterBreak="0">
    <w:multiLevelType w:val="hybridMultilevel"/>
    <w:lvl w:ilvl="0" w15:tentative="1">
      <w:start w:val="1"/>
      <w:numFmt w:val="decimal"/>
      <w:lvlText w:val="%1."/>
      <w:lvlJc w:val="left"/>
      <w:pPr>
        <w:ind w:left="3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2026-09-02T01:14:58.695Z</dcterms:created>
  <dcterms:modified xsi:type="dcterms:W3CDTF">2026-09-02T01:14:58.701Z</dcterms:modified>
</cp:coreProperties>
</file>

<file path=docProps/custom.xml><?xml version="1.0" encoding="utf-8"?>
<Properties xmlns="http://schemas.openxmlformats.org/officeDocument/2006/custom-properties" xmlns:vt="http://schemas.openxmlformats.org/officeDocument/2006/docPropsVTypes"/>
</file>