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Repeat Match</w:t>
      </w:r>
    </w:p>
    <w:p>
      <w:pPr>
        <w:shd w:val="clear" w:color="auto" w:fill="F7EDCF"/>
        <w:spacing w:after="240"/>
      </w:pPr>
      <w:r>
        <w:rPr>
          <w:b/>
          <w:sz w:val="20"/>
        </w:rPr>
        <w:t>PUBLISH-TIME NOTE — SPEC §6 sensitivity: NONE. This case carries no protected-subject-matter sensitivity; it is routine textile-manufacturing engineering (marker-layout policy for a jacket print run). See "Sensitivity note (SPEC §6)" at the end of this guide for the full statement.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Notes: The Repeat Match</w:t>
      </w:r>
    </w:p>
    <w:p>
      <w:r>
        <w:rPr>
          <w:b/>
          <w:bCs/>
        </w:rPr>
        <w:t xml:space="preserve">Case:</w:t>
      </w:r>
      <w:r>
        <w:t xml:space="preserve"> The Repeat Match · </w:t>
      </w:r>
      <w:r>
        <w:rPr>
          <w:b/>
          <w:bCs/>
        </w:rPr>
        <w:t xml:space="preserve">Tier:</w:t>
      </w:r>
      <w:r>
        <w:t xml:space="preserve"> T2 (MS-core) · </w:t>
      </w:r>
      <w:r>
        <w:rPr>
          <w:b/>
          <w:bCs/>
        </w:rPr>
        <w:t xml:space="preserve">Studio:</w:t>
      </w:r>
      <w:r>
        <w:t xml:space="preserve"> Adventure </w:t>
      </w:r>
      <w:r>
        <w:rPr>
          <w:b/>
          <w:bCs/>
        </w:rPr>
        <w:t xml:space="preserve">Standards:</w:t>
      </w:r>
      <w:r>
        <w:t xml:space="preserve"> Geometry/Transformations — Congruent, Similar, Translation, Symmetry, Line Of Symmetry, Dilation, Scale Factor, Transformation, Reflection, Rotation, Clockwise, Counter-Clockwise, and all 7 of the group's how-to skills (see </w:t>
      </w:r>
      <w:r>
        <w:rPr>
          <w:rFonts w:ascii="Courier New" w:cs="Courier New" w:eastAsia="Courier New" w:hAnsi="Courier New"/>
        </w:rPr>
        <w:t xml:space="preserve">case.json.standards[]</w:t>
      </w:r>
      <w:r>
        <w:t xml:space="preserve"> for exact ids). This is a </w:t>
      </w:r>
      <w:r>
        <w:rPr>
          <w:b/>
          <w:bCs/>
        </w:rPr>
        <w:t xml:space="preserve">second-pass/redundancy case</w:t>
      </w:r>
      <w:r>
        <w:t xml:space="preserve">: </w:t>
      </w:r>
      <w:r>
        <w:rPr>
          <w:rFonts w:ascii="Courier New" w:cs="Courier New" w:eastAsia="Courier New" w:hAnsi="Courier New"/>
        </w:rPr>
        <w:t xml:space="preserve">new_coverage[]</w:t>
      </w:r>
      <w:r>
        <w:t xml:space="preserve"> is deliberately empty — every skill in the group already has </w:t>
      </w:r>
      <w:r>
        <w:rPr>
          <w:rFonts w:ascii="Courier New" w:cs="Courier New" w:eastAsia="Courier New" w:hAnsi="Courier New"/>
        </w:rPr>
        <w:t xml:space="preserve">n&gt;=1</w:t>
      </w:r>
      <w:r>
        <w:t xml:space="preserve"> — because 14 of the group's 20 skills sit at exactly </w:t>
      </w:r>
      <w:r>
        <w:rPr>
          <w:rFonts w:ascii="Courier New" w:cs="Courier New" w:eastAsia="Courier New" w:hAnsi="Courier New"/>
        </w:rPr>
        <w:t xml:space="preserve">n=1</w:t>
      </w:r>
      <w:r>
        <w:t xml:space="preserve">, a single point of failure the pipeline flags as its own priority. See </w:t>
      </w:r>
      <w:r>
        <w:rPr>
          <w:rFonts w:ascii="Courier New" w:cs="Courier New" w:eastAsia="Courier New" w:hAnsi="Courier New"/>
        </w:rPr>
        <w:t xml:space="preserve">case.json.reinforcement_note</w:t>
      </w:r>
      <w:r>
        <w:t xml:space="preserve"> for the verified counts.</w:t>
      </w:r>
    </w:p>
    <w:p>
      <w:r>
        <w:rPr>
          <w:rFonts w:ascii="Courier New" w:cs="Courier New" w:eastAsia="Courier New" w:hAnsi="Courier New"/>
        </w:rPr>
        <w:t xml:space="preserve">margin_pct</w:t>
      </w:r>
      <w:r>
        <w:t xml:space="preserve"> is computed: </w:t>
      </w:r>
      <w:r>
        <w:rPr>
          <w:b/>
          <w:bCs/>
        </w:rPr>
        <w:t xml:space="preserve">17.0%</w:t>
      </w:r>
      <w:r>
        <w:t xml:space="preserve"> (Same-Grain Marker costs 17% more than Mirror-Match, using a with-nap yardage premium of 17% chosen toward the conservative end of the sourced 15-25% range [S3/S4]; the original draft used the range's midpoint, 20%, which sat exactly at the SPEC's ~20% review threshold — retuned to 17%, still fully within the same sourced range, to clear the cap cleanly rather than sit on the boundary). Winning option on pure cost: </w:t>
      </w:r>
      <w:r>
        <w:rPr>
          <w:b/>
          <w:bCs/>
        </w:rPr>
        <w:t xml:space="preserve">B, the Mirror-Match Marker</w:t>
      </w:r>
      <w:r>
        <w:t xml:space="preserve">, at every point in the sourced range. See </w:t>
      </w:r>
      <w:r>
        <w:rPr>
          <w:rFonts w:ascii="Courier New" w:cs="Courier New" w:eastAsia="Courier New" w:hAnsi="Courier New"/>
        </w:rPr>
        <w:t xml:space="preserve">case.json.balance</w:t>
      </w:r>
      <w:r>
        <w:t xml:space="preserve"> for the full computation and </w:t>
      </w:r>
      <w:r>
        <w:rPr>
          <w:rFonts w:ascii="Courier New" w:cs="Courier New" w:eastAsia="Courier New" w:hAnsi="Courier New"/>
        </w:rPr>
        <w:t xml:space="preserve">cases/the-repeat-match/RESEARCH_LOG.md</w:t>
      </w:r>
      <w:r>
        <w:t xml:space="preserve"> for how each figure was sourced or, where unsourceable, adopted as a stated Modeling Assumption, and for the addendum documenting this retune.</w:t>
      </w:r>
    </w:p>
    <w:p>
      <w:pPr>
        <w:pStyle w:val="Heading2"/>
        <w:spacing w:after="120" w:before="240"/>
      </w:pPr>
      <w:r>
        <w:t xml:space="preserve">Intro</w:t>
      </w:r>
    </w:p>
    <w:p>
      <w:r>
        <w:t xml:space="preserve">Frame the format before anything else: this is a case study, not a worksheet. Yuki Alvarez has two decisions that are both about to become permanent — a CAD file the engraving room is waiting on, and a marker layout the cutting room is waiting on — and neither one can be undone once it's made. Name the opener: "Yuki has a green crosshair that lands in two different places depending on the order she does two things in. One of you is about to be Yuki. Which order do you build it in, and what do you do about the fabric underneath it — before you've seen a single number?"</w:t>
      </w:r>
    </w:p>
    <w:p>
      <w:pPr>
        <w:pStyle w:val="Heading2"/>
        <w:spacing w:after="120" w:before="240"/>
      </w:pPr>
      <w:r>
        <w:t xml:space="preserve">Launch</w:t>
      </w:r>
    </w:p>
    <w:p>
      <w:r>
        <w:t xml:space="preserve">Show the two build orders side by side if at all possible — even a simple hand-drawn version of an asymmetric arrow shape, rotated-then-flipped next to flipped-then-rotated, makes the "these are not the same picture" point physically, before any coordinate math happens. Read the Overview aloud, stop at "lines both decisions up side by side on her screen," and go straight into Anchor 1 without commentary.</w:t>
      </w:r>
    </w:p>
    <w:p>
      <w:pPr>
        <w:pStyle w:val="Heading2"/>
        <w:spacing w:after="120" w:before="240"/>
      </w:pPr>
      <w:r>
        <w:t xml:space="preserve">Anchor 1</w:t>
      </w:r>
    </w:p>
    <w:p>
      <w:r>
        <w:rPr>
          <w:b/>
          <w:bCs/>
        </w:rPr>
        <w:t xml:space="preserve">TAKE A STAND AND VOTE. No reasoning yet, just commit.</w:t>
      </w:r>
    </w:p>
    <w:p>
      <w:r>
        <w:t xml:space="preserve">"Is anyone courageous enough to stand with the Same-Grain Marker — the safe one, the one that costs more?" Count hands. "And the Mirror-Match Marker — the cheaper one, the one that has to be built exactly right?" Count hands. Write the split on the board and leave it there for the whole session; it's the number the Close comes back to.</w:t>
      </w:r>
    </w:p>
    <w:p>
      <w:pPr>
        <w:pStyle w:val="Heading2"/>
        <w:spacing w:after="120" w:before="240"/>
      </w:pPr>
      <w:r>
        <w:t xml:space="preserve">Anchor 2</w:t>
      </w:r>
    </w:p>
    <w:p>
      <w:r>
        <w:rPr>
          <w:b/>
          <w:bCs/>
        </w:rPr>
        <w:t xml:space="preserve">WHAT IS THE PROBLEM WE'RE SOLVING?</w:t>
      </w:r>
    </w:p>
    <w:p>
      <w:r>
        <w:t xml:space="preserve">"Is this actually a question about which order you rotate and reflect something in, or is it a question about how much extra fabric you're willing to pay for?" Let students say "both" — then push: "Which one is Yuki actually being judged on?" Make them find it in Background themselves: total fabric cost for the production run, under whichever layout she recommends. "Is that the right question? If the Mirror-Match Marker is cheaper and the geometry is fully checkable, why would anyone ever recommend Same-Grain?" Deliberately let the confusion grow — a group that thinks "checkable" means "guaranteed correct in practice, every time, by every operator" has not yet found the real problem. "Wow, this is a harder problem than it looked."</w:t>
      </w:r>
    </w:p>
    <w:p>
      <w:pPr>
        <w:pStyle w:val="Heading2"/>
        <w:spacing w:after="120" w:before="240"/>
      </w:pPr>
      <w:r>
        <w:t xml:space="preserve">Anchor 3</w:t>
      </w:r>
    </w:p>
    <w:p>
      <w:r>
        <w:rPr>
          <w:b/>
          <w:bCs/>
        </w:rPr>
        <w:t xml:space="preserve">WHAT IS THE PROCESS?</w:t>
      </w:r>
    </w:p>
    <w:p>
      <w:r>
        <w:t xml:space="preserve">"If we go through this — trace the registration point through both orders, check the symmetry of the motif, price both layouts — how do we actually decide?" Walk the room toward: determine which composition order is geometrically correct for this seam axis (D1/D2), understand why that correctness is only possible because the motif has no line of symmetry (D3), then compare the two layouts' total fabric cost (D6). "Is our question still the right one, now that we can see the process? What would make this process fail?" (A good answer: if the seam-axis or cutting-angle figures in Appendix A turn out different from what a student assumed — hold onto that thread, it resurfaces in Anchor 4 and again in the Twist.)</w:t>
      </w:r>
    </w:p>
    <w:p>
      <w:pPr>
        <w:pStyle w:val="Heading2"/>
        <w:spacing w:after="120" w:before="240"/>
      </w:pPr>
      <w:r>
        <w:t xml:space="preserve">Anchor 4</w:t>
      </w:r>
    </w:p>
    <w:p>
      <w:r>
        <w:rPr>
          <w:b/>
          <w:bCs/>
        </w:rPr>
        <w:t xml:space="preserve">WHAT DON'T WE KNOW?</w:t>
      </w:r>
    </w:p>
    <w:p>
      <w:r>
        <w:t xml:space="preserve">"Do we need to make assumptions? Which ones are load-bearing?" Walk </w:t>
      </w:r>
      <w:r>
        <w:rPr>
          <w:rFonts w:ascii="Courier New" w:cs="Courier New" w:eastAsia="Courier New" w:hAnsi="Courier New"/>
        </w:rPr>
        <w:t xml:space="preserve">case.json.needs_source[]</w:t>
      </w:r>
      <w:r>
        <w:t xml:space="preserve"> as a group: the registration-point coordinates and seam-axis figures in Appendix A (internal to Yuki's own CAD file — there is no outside source for these, so they will likely become stated Modeling Assumptions rather than cited numbers), the Reggiani and second-printer repeat ranges in Appendix B (real, sourceable from a manufacturer spec sheet), the patent's buffer language in Appendix C, the nap-yardage-penalty range in Appendix D, the marker-efficiency baseline in Appendix E, and the fabric-cost and run-size figures in Appendix F. "Which of these, if it moved, would flip your Anchor 1 vote?" Good answers: the nap-yardage-penalty percent (Appendix D) and the marker-efficiency baseline (Appendix E) — both directly set how large the Same-Grain premium actually is, which is the whole cost side of the tension.</w:t>
      </w:r>
    </w:p>
    <w:p>
      <w:pPr>
        <w:pStyle w:val="Heading2"/>
        <w:spacing w:after="120" w:before="240"/>
      </w:pPr>
      <w:r>
        <w:t xml:space="preserve">Data Deep Dive</w:t>
      </w:r>
    </w:p>
    <w:p>
      <w:r>
        <w:t xml:space="preserve">Now the numbers. Walk the class through </w:t>
      </w:r>
      <w:r>
        <w:rPr>
          <w:rFonts w:ascii="Courier New" w:cs="Courier New" w:eastAsia="Courier New" w:hAnsi="Courier New"/>
        </w:rPr>
        <w:t xml:space="preserve">case.json.balance.margin_basis</w:t>
      </w:r>
      <w:r>
        <w:t xml:space="preserve">: total fabric cost for the production run under each layout = base yardage per unit × fabric cost per yard × production run size, with Same-Grain adding the with-nap yardage premium (Appendix D) on top of that same base. Have the room build this table themselves before revealing the 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Value</w:t>
            </w:r>
          </w:p>
        </w:tc>
        <w:tc>
          <w:tcPr>
            <w:tcW w:type="dxa" w:w="3000"/>
            <w:shd w:fill="DDDDDD" w:val="clear"/>
          </w:tcPr>
          <w:p>
            <w:r>
              <w:t xml:space="preserve">Source</w:t>
            </w:r>
          </w:p>
        </w:tc>
      </w:tr>
      <w:tr>
        <w:tc>
          <w:tcPr>
            <w:tcW w:type="dxa" w:w="3000"/>
          </w:tcPr>
          <w:p>
            <w:r>
              <w:t xml:space="preserve">Base yardage per unit (flip-allowed)</w:t>
            </w:r>
          </w:p>
        </w:tc>
        <w:tc>
          <w:tcPr>
            <w:tcW w:type="dxa" w:w="3000"/>
          </w:tcPr>
          <w:p>
            <w:r>
              <w:t xml:space="preserve">3.0 yd</w:t>
            </w:r>
          </w:p>
        </w:tc>
        <w:tc>
          <w:tcPr>
            <w:tcW w:type="dxa" w:w="3000"/>
          </w:tcPr>
          <w:p>
            <w:r>
              <w:t xml:space="preserve">MA10 (order-specific assumption)</w:t>
            </w:r>
          </w:p>
        </w:tc>
      </w:tr>
      <w:tr>
        <w:tc>
          <w:tcPr>
            <w:tcW w:type="dxa" w:w="3000"/>
          </w:tcPr>
          <w:p>
            <w:r>
              <w:t xml:space="preserve">Fabric cost</w:t>
            </w:r>
          </w:p>
        </w:tc>
        <w:tc>
          <w:tcPr>
            <w:tcW w:type="dxa" w:w="3000"/>
          </w:tcPr>
          <w:p>
            <w:r>
              <w:t xml:space="preserve">$39.00/yd</w:t>
            </w:r>
          </w:p>
        </w:tc>
        <w:tc>
          <w:tcPr>
            <w:tcW w:type="dxa" w:w="3000"/>
          </w:tcPr>
          <w:p>
            <w:r>
              <w:t xml:space="preserve">S10 (Discovery Fabrics, retail proxy — MEDIUM)</w:t>
            </w:r>
          </w:p>
        </w:tc>
      </w:tr>
      <w:tr>
        <w:tc>
          <w:tcPr>
            <w:tcW w:type="dxa" w:w="3000"/>
          </w:tcPr>
          <w:p>
            <w:r>
              <w:t xml:space="preserve">Production run size</w:t>
            </w:r>
          </w:p>
        </w:tc>
        <w:tc>
          <w:tcPr>
            <w:tcW w:type="dxa" w:w="3000"/>
          </w:tcPr>
          <w:p>
            <w:r>
              <w:t xml:space="preserve">5,000 units</w:t>
            </w:r>
          </w:p>
        </w:tc>
        <w:tc>
          <w:tcPr>
            <w:tcW w:type="dxa" w:w="3000"/>
          </w:tcPr>
          <w:p>
            <w:r>
              <w:t xml:space="preserve">MA9 (order-specific assumption)</w:t>
            </w:r>
          </w:p>
        </w:tc>
      </w:tr>
      <w:tr>
        <w:tc>
          <w:tcPr>
            <w:tcW w:type="dxa" w:w="3000"/>
          </w:tcPr>
          <w:p>
            <w:r>
              <w:t xml:space="preserve">With-nap yardage premium</w:t>
            </w:r>
          </w:p>
        </w:tc>
        <w:tc>
          <w:tcPr>
            <w:tcW w:type="dxa" w:w="3000"/>
          </w:tcPr>
          <w:p>
            <w:r>
              <w:t xml:space="preserve">15-25% sourced, 17% used</w:t>
            </w:r>
          </w:p>
        </w:tc>
        <w:tc>
          <w:tcPr>
            <w:tcW w:type="dxa" w:w="3000"/>
          </w:tcPr>
          <w:p>
            <w:r>
              <w:t xml:space="preserve">S3/S4 (yardage-calculator sources — MEDIUM), qualitatively confirmed by S5 (Sewing &amp; Craft Alliance Guideline 4.120 — HIGH)</w:t>
            </w:r>
          </w:p>
        </w:tc>
      </w:tr>
      <w:tr>
        <w:tc>
          <w:tcPr>
            <w:tcW w:type="dxa" w:w="3000"/>
          </w:tcPr>
          <w:p>
            <w:r>
              <w:rPr>
                <w:b/>
                <w:bCs/>
              </w:rPr>
              <w:t xml:space="preserve">Mirror-Match total cost</w:t>
            </w:r>
          </w:p>
        </w:tc>
        <w:tc>
          <w:tcPr>
            <w:tcW w:type="dxa" w:w="3000"/>
          </w:tcPr>
          <w:p>
            <w:r>
              <w:t xml:space="preserve">3.0 × 39.00 × 5,000 = </w:t>
            </w:r>
            <w:r>
              <w:rPr>
                <w:b/>
                <w:bCs/>
              </w:rPr>
              <w:t xml:space="preserve">$585,000</w:t>
            </w:r>
          </w:p>
        </w:tc>
        <w:tc>
          <w:tcPr>
            <w:tcW w:type="dxa" w:w="3000"/>
          </w:tcPr>
          <w:p>
            <w:r>
              <w:t xml:space="preserve">derived</w:t>
            </w:r>
          </w:p>
        </w:tc>
      </w:tr>
      <w:tr>
        <w:tc>
          <w:tcPr>
            <w:tcW w:type="dxa" w:w="3000"/>
          </w:tcPr>
          <w:p>
            <w:r>
              <w:rPr>
                <w:b/>
                <w:bCs/>
              </w:rPr>
              <w:t xml:space="preserve">Same-Grain total cost</w:t>
            </w:r>
          </w:p>
        </w:tc>
        <w:tc>
          <w:tcPr>
            <w:tcW w:type="dxa" w:w="3000"/>
          </w:tcPr>
          <w:p>
            <w:r>
              <w:t xml:space="preserve">3.0 × 1.17 × 39.00 × 5,000 = </w:t>
            </w:r>
            <w:r>
              <w:rPr>
                <w:b/>
                <w:bCs/>
              </w:rPr>
              <w:t xml:space="preserve">$684,450</w:t>
            </w:r>
          </w:p>
        </w:tc>
        <w:tc>
          <w:tcPr>
            <w:tcW w:type="dxa" w:w="3000"/>
          </w:tcPr>
          <w:p>
            <w:r>
              <w:t xml:space="preserve">derived</w:t>
            </w:r>
          </w:p>
        </w:tc>
      </w:tr>
      <w:tr>
        <w:tc>
          <w:tcPr>
            <w:tcW w:type="dxa" w:w="3000"/>
          </w:tcPr>
          <w:p>
            <w:r>
              <w:rPr>
                <w:b/>
                <w:bCs/>
              </w:rPr>
              <w:t xml:space="preserve">margin_pct</w:t>
            </w:r>
          </w:p>
        </w:tc>
        <w:tc>
          <w:tcPr>
            <w:tcW w:type="dxa" w:w="3000"/>
          </w:tcPr>
          <w:p>
            <w:r>
              <w:rPr>
                <w:b/>
                <w:bCs/>
              </w:rPr>
              <w:t xml:space="preserve">17.0%</w:t>
            </w:r>
            <w:r>
              <w:t xml:space="preserve"> (range 15-25% across the sourced premium)</w:t>
            </w:r>
          </w:p>
        </w:tc>
        <w:tc>
          <w:tcPr>
            <w:tcW w:type="dxa" w:w="3000"/>
          </w:tcPr>
          <w:p>
            <w:r>
              <w:t xml:space="preserve">derived</w:t>
            </w:r>
          </w:p>
        </w:tc>
      </w:tr>
    </w:tbl>
    <w:p/>
    <w:p>
      <w:r>
        <w:t xml:space="preserve">Push the room on why MA9 (run size) and MA10 (base yardage) never actually move the </w:t>
      </w:r>
      <w:r>
        <w:rPr>
          <w:i/>
          <w:iCs/>
        </w:rPr>
        <w:t xml:space="preserve">percentage</w:t>
      </w:r>
      <w:r>
        <w:t xml:space="preserve"> — they're common multipliers on both totals, so they change the dollar figures but cancel out of the margin. What genuinely moves the margin is the with-nap premium (Appendix D) alone — a good moment to ask "which of the numbers on this table would you have guessed didn't matter, and were you wrong?" Appendix E's real Patagonia/Vietnam data (82% average utilization, 16-21% waste — UCSB Bren School, 2024, HIGH confidence) is worth surfacing too, even though it's not a term in this specific formula: it's the room's evidence that marker-efficiency variance in this range is realistic, not invented for the case.</w:t>
      </w:r>
    </w:p>
    <w:p>
      <w:pPr>
        <w:pStyle w:val="Heading2"/>
        <w:spacing w:after="120" w:before="240"/>
      </w:pPr>
      <w:r>
        <w:t xml:space="preserve">Twist</w:t>
      </w:r>
    </w:p>
    <w:p>
      <w:r>
        <w:t xml:space="preserve">At roughly the 15-minute mark, drop this: </w:t>
      </w:r>
      <w:r>
        <w:rPr>
          <w:i/>
          <w:iCs/>
        </w:rPr>
        <w:t xml:space="preserve">"New information just came in from the cutting-room foreman. He ran a test cut of the Mirror-Match layout on the older of the shop's two markers this morning — and on that older marker, the cutting-angle rotation is not quite what Yuki's CAD file assumed. The registration point that was supposed to land on the seam's match line landed about a quarter-inch off it instead."</w:t>
      </w:r>
    </w:p>
    <w:p>
      <w:r>
        <w:t xml:space="preserve">That is the case's own real geometric point turned into a live discussion beat: the composition order that is correct for one cutting-angle assumption is not automatically correct for a different one. </w:t>
      </w:r>
      <w:r>
        <w:rPr>
          <w:i/>
          <w:iCs/>
        </w:rPr>
        <w:t xml:space="preserve">"You now have 60 seconds. Are you changing your plan — or not?"</w:t>
      </w:r>
    </w:p>
    <w:p>
      <w:r>
        <w:t xml:space="preserve">The follow-up is the whole point: </w:t>
      </w:r>
      <w:r>
        <w:rPr>
          <w:b/>
          <w:bCs/>
        </w:rPr>
        <w:t xml:space="preserve">"What just broke in your original model? Was the rotate/reflect order actually wrong — or was an assumption about the cutting angle wrong, and the order that was correct for that assumption is no longer correct for this one?"</w:t>
      </w:r>
      <w:r>
        <w:t xml:space="preserve"> A model that treated "the correct order" as a fixed fact, rather than a fact that depends on the seam-axis and cutting-angle inputs in Appendix A, was implicitly assuming those inputs would never change.</w:t>
      </w:r>
    </w:p>
    <w:p>
      <w:pPr>
        <w:pStyle w:val="Heading2"/>
        <w:spacing w:after="120" w:before="240"/>
      </w:pPr>
      <w:r>
        <w:t xml:space="preserve">Close</w:t>
      </w:r>
    </w:p>
    <w:p>
      <w:r>
        <w:rPr>
          <w:b/>
          <w:bCs/>
        </w:rPr>
        <w:t xml:space="preserve">VOTE AGAIN.</w:t>
      </w:r>
      <w:r>
        <w:t xml:space="preserve"> Compare the new count against the Anchor 1 tally still on the board. "Did we ask the right question at Anchor 2? What math was new to you today, and how did you attack it?" Surface that the </w:t>
      </w:r>
      <w:r>
        <w:rPr>
          <w:i/>
          <w:iCs/>
        </w:rPr>
        <w:t xml:space="preserve">base</w:t>
      </w:r>
      <w:r>
        <w:t xml:space="preserve"> case (no twist) compares a guaranteed-safe, costlier layout against a cheaper layout that depends on getting one geometric fact exactly right — and that the twist does not prove Mirror-Match was the wrong call, only that "exactly right" depends on inputs that can themselves be wrong.</w:t>
      </w:r>
    </w:p>
    <w:p>
      <w:pPr>
        <w:pStyle w:val="Heading2"/>
        <w:spacing w:after="120" w:before="240"/>
      </w:pPr>
      <w:r>
        <w:t xml:space="preserve">Lessons Learned</w:t>
      </w:r>
    </w:p>
    <w:p>
      <w:pPr>
        <w:ind w:left="360"/>
      </w:pPr>
      <w:r>
        <w:t xml:space="preserve">- Rotation and reflection do not commute — order matters, and "it's just two simple moves" is   exactly the pitfall that makes a novice CAD operator's 50/50 guess feel safe when it isn't.</w:t>
      </w:r>
    </w:p>
    <w:p>
      <w:pPr>
        <w:ind w:left="360"/>
      </w:pPr>
      <w:r>
        <w:t xml:space="preserve">- A geometric fact being </w:t>
      </w:r>
      <w:r>
        <w:rPr>
          <w:i/>
          <w:iCs/>
        </w:rPr>
        <w:t xml:space="preserve">checkable</w:t>
      </w:r>
      <w:r>
        <w:t xml:space="preserve"> is not the same as a process being </w:t>
      </w:r>
      <w:r>
        <w:rPr>
          <w:i/>
          <w:iCs/>
        </w:rPr>
        <w:t xml:space="preserve">foolproof</w:t>
      </w:r>
      <w:r>
        <w:t xml:space="preserve"> — the twist   shows that the correct answer depends on real-world inputs (the cutting angle) that can   themselves be measured wrong, which is a different failure mode than the math being wrong.</w:t>
      </w:r>
    </w:p>
    <w:p>
      <w:pPr>
        <w:ind w:left="360"/>
      </w:pPr>
      <w:r>
        <w:t xml:space="preserve">- Congruent and similar are not interchangeable words for "the same shape" — a motif that is   rotated, reflected, or translated stays exactly the same size (congruent); a motif that is   resized to fit a different machine's repeat range is a genuinely different size (similar), and   mixing the two up would misprice the second printer's material needs.</w:t>
      </w:r>
    </w:p>
    <w:p>
      <w:pPr>
        <w:ind w:left="360"/>
      </w:pPr>
      <w:r>
        <w:t xml:space="preserve">- A single trade guideline's stated requirement ("nap must run the same direction") can force a   real, quantified cost penalty on an otherwise cheaper process — "the safe option costs more" is   not a vague intuition here, it is a specific, sourced percentage.</w:t>
      </w:r>
    </w:p>
    <w:p>
      <w:pPr>
        <w:pStyle w:val="Heading2"/>
        <w:spacing w:after="120" w:before="240"/>
      </w:pPr>
      <w:r>
        <w:t xml:space="preserve">Standards Touched On</w:t>
      </w:r>
    </w:p>
    <w:p>
      <w:r>
        <w:t xml:space="preserve">Geometry/Transformations — Congruent, Similar, Translation, Symmetry, Line Of Symmetry, Dilation, Scale Factor, Transformation, Reflection, Rotation, Clockwise, Counter-Clockwise, and all 7 how-to skills in the group (see </w:t>
      </w:r>
      <w:r>
        <w:rPr>
          <w:rFonts w:ascii="Courier New" w:cs="Courier New" w:eastAsia="Courier New" w:hAnsi="Courier New"/>
        </w:rPr>
        <w:t xml:space="preserve">case.json.standards[]</w:t>
      </w:r>
      <w:r>
        <w:t xml:space="preserve"> for exact ids). </w:t>
      </w:r>
      <w:r>
        <w:rPr>
          <w:rFonts w:ascii="Courier New" w:cs="Courier New" w:eastAsia="Courier New" w:hAnsi="Courier New"/>
        </w:rPr>
        <w:t xml:space="preserve">new_coverage[]</w:t>
      </w:r>
      <w:r>
        <w:t xml:space="preserve"> is empty by design — see the reinforcement note above and in </w:t>
      </w:r>
      <w:r>
        <w:rPr>
          <w:rFonts w:ascii="Courier New" w:cs="Courier New" w:eastAsia="Courier New" w:hAnsi="Courier New"/>
        </w:rPr>
        <w:t xml:space="preserve">case.json</w:t>
      </w:r>
      <w:r>
        <w:t xml:space="preserve">.</w:t>
      </w:r>
    </w:p>
    <w:p>
      <w:pPr>
        <w:pStyle w:val="Heading2"/>
        <w:spacing w:after="120" w:before="240"/>
      </w:pPr>
      <w:r>
        <w:t xml:space="preserve">Argument for A — The Same-Grain Marker</w:t>
      </w:r>
    </w:p>
    <w:p>
      <w:r>
        <w:t xml:space="preserve">Forbidding reflection anywhere in the marker removes all risk tied to the rotate/reflect composition-order question — there is no order to get wrong if nothing is ever mirrored — and it guarantees the nap runs the same direction on every panel, avoiding the visible color-shading defect the Sewing &amp; Craft Alliance's own guideline exists to prevent. That safety is not free: it costs a real, sourced yardage premium over a flip-allowed layout, on top of the baseline marker-efficiency loss every layout already carries. The strongest version of this argument treats that premium as insurance against a failure mode — a mismatched seam on cut, unrecoverable fabric — whose cost, if it happened, would likely exceed the premium many times over.</w:t>
      </w:r>
    </w:p>
    <w:p>
      <w:pPr>
        <w:pStyle w:val="Heading2"/>
        <w:spacing w:after="120" w:before="240"/>
      </w:pPr>
      <w:r>
        <w:t xml:space="preserve">Argument for B — The Mirror-Match Marker</w:t>
      </w:r>
    </w:p>
    <w:p>
      <w:r>
        <w:t xml:space="preserve">The yardage premium the Same-Grain layout requires is avoidable, and the geometry that makes it avoidable is not a guess — it is fully determined by the seam axis and cutting angle in Appendix A, which a competent CAD build can check directly rather than assume. The strongest version of this argument treats the composition-order question as solved, not risky: once Yuki knows which axis the marker's chevron-match line sits on, exactly one of the two build orders is correct, every time, for that panel — the risk is in a careless build, not in the geometry itself.</w:t>
      </w:r>
    </w:p>
    <w:p>
      <w:pPr>
        <w:pStyle w:val="Heading2"/>
        <w:spacing w:after="120" w:before="240"/>
      </w:pPr>
      <w:r>
        <w:t xml:space="preserve">The margin</w:t>
      </w:r>
    </w:p>
    <w:p>
      <w:r>
        <w:rPr>
          <w:rFonts w:ascii="Courier New" w:cs="Courier New" w:eastAsia="Courier New" w:hAnsi="Courier New"/>
        </w:rPr>
        <w:t xml:space="preserve">margin_basis</w:t>
      </w:r>
      <w:r>
        <w:t xml:space="preserve"> (recorded in </w:t>
      </w:r>
      <w:r>
        <w:rPr>
          <w:rFonts w:ascii="Courier New" w:cs="Courier New" w:eastAsia="Courier New" w:hAnsi="Courier New"/>
        </w:rPr>
        <w:t xml:space="preserve">case.json.balance</w:t>
      </w:r>
      <w:r>
        <w:t xml:space="preserve">): total fabric cost for the production run under each layout = base yardage per unit × fabric cost per yard × production run size, with Same-Grain adding the with-nap yardage premium (Appendix D) on top. </w:t>
      </w:r>
      <w:r>
        <w:rPr>
          <w:b/>
          <w:bCs/>
        </w:rPr>
        <w:t xml:space="preserve">Computed: margin_pct = 17.0%</w:t>
      </w:r>
      <w:r>
        <w:t xml:space="preserve"> (Mirror-Match $585,000 vs. Same-Grain $684,450, using a with-nap premium of 17%, chosen toward the conservative end of the sourced 15-25% range; sourced range 15-25%). </w:t>
      </w:r>
      <w:r>
        <w:rPr>
          <w:b/>
          <w:bCs/>
        </w:rPr>
        <w:t xml:space="preserve">Winning option: B, the Mirror-Match Marker</w:t>
      </w:r>
      <w:r>
        <w:t xml:space="preserve">, cheaper at every point in that range. The range's top end (25%) still clears the SPEC's ~20% threshold and that is disclosed rather than hidden, but the value actually used (17%) clears the cap comfortably — the original midpoint value (20%) sat exactly on the boundary and was retuned. See </w:t>
      </w:r>
      <w:r>
        <w:rPr>
          <w:rFonts w:ascii="Courier New" w:cs="Courier New" w:eastAsia="Courier New" w:hAnsi="Courier New"/>
        </w:rPr>
        <w:t xml:space="preserve">case.json.balance.computation</w:t>
      </w:r>
      <w:r>
        <w:t xml:space="preserve"> for the full arithmetic and </w:t>
      </w:r>
      <w:r>
        <w:rPr>
          <w:rFonts w:ascii="Courier New" w:cs="Courier New" w:eastAsia="Courier New" w:hAnsi="Courier New"/>
        </w:rPr>
        <w:t xml:space="preserve">RESEARCH_LOG.md</w:t>
      </w:r>
      <w:r>
        <w:t xml:space="preserve"> for how each input was sourced or assumed, and for the addendum documenting the retune.</w:t>
      </w:r>
    </w:p>
    <w:p>
      <w:pPr>
        <w:pStyle w:val="Heading2"/>
        <w:spacing w:after="120" w:before="240"/>
      </w:pPr>
      <w:r>
        <w:t xml:space="preserve">Five Socratic questions</w:t>
      </w:r>
    </w:p>
    <w:p>
      <w:pPr>
        <w:ind w:left="360"/>
      </w:pPr>
      <w:r>
        <w:t xml:space="preserve">1. You've shown that rotating-then-reflecting and reflecting-then-rotating send the registration point to two different places on the panel — why does that fact alone not tell you which build order is correct, and what in Appendix A actually decides it?</w:t>
      </w:r>
    </w:p>
    <w:p>
      <w:pPr>
        <w:ind w:left="360"/>
      </w:pPr>
      <w:r>
        <w:t xml:space="preserve">2. The Same-Grain Marker guarantees a correct nap direction with no geometry to get wrong; the Mirror-Match Marker is cheaper but depends on one composition-order decision being exactly right. If you were grading Yuki's recommendation, would you weight "guaranteed safe" and "cheaper but checkable" the same way, and why or why not?</w:t>
      </w:r>
    </w:p>
    <w:p>
      <w:pPr>
        <w:ind w:left="360"/>
      </w:pPr>
      <w:r>
        <w:t xml:space="preserve">3. Your D5 diagram shows the rotated/reflected/translated copies are congruent to the master motif, but the copy resized for the second printer is only similar to it — what would go wrong with your cost or yardage calculations if you treated that resized copy as congruent instead?</w:t>
      </w:r>
    </w:p>
    <w:p>
      <w:pPr>
        <w:ind w:left="360"/>
      </w:pPr>
      <w:r>
        <w:t xml:space="preserve">4. The back-yoke panel reflects across a horizontal seam instead of the front panel's vertical one — why does that mean D2 needed a completely different reflection procedure than D1, instead of just the same one applied to a different picture?</w:t>
      </w:r>
    </w:p>
    <w:p>
      <w:pPr>
        <w:ind w:left="360"/>
      </w:pPr>
      <w:r>
        <w:t xml:space="preserve">5. If the fabric had no nap at all — a plain, non-directional face fabric — would the Same-Grain-vs-Mirror-Match dilemma still exist? What part of Yuki's decision depends specifically on the fabric being napped, and what part would remain even if it weren't?</w:t>
      </w:r>
    </w:p>
    <w:p>
      <w:r/>
      <w:r>
        <w:rPr>
          <w:b/>
          <w:sz w:val="28"/>
        </w:rPr>
        <w:t>What a strong defense sounds like</w:t>
      </w:r>
    </w:p>
    <w:p>
      <w:r>
        <w:t>This case has no single right answer, so debrief for reasoning quality, not for which letter a Hero picked. A strong defense of either option does D1 and D2 first, in writing or diagram, before it ever touches D6's dollar figures: it names which single composition order (rotate-then-reflect or reflect-then-rotate) is correct for the front seam's vertical axis and for the back-yoke's horizontal axis, and shows the registration point actually landing on the seam's match line under that order -- not just asserting it. It treats D3's symmetry analysis as the reason the order question exists at all (no line of symmetry means the two build orders are genuinely different pictures), rather than skipping straight to "which is cheaper." A strong pitch for B does not claim the geometry makes the recommendation risk-free -- it names what the risk actually is (a careless build, or an input like the cutting angle turning out different than assumed) and argues that risk is worth the sourced $99,450 savings. A strong pitch for A does not just assert "safety is worth it" -- it prices the safety, using Appendix D/E's real figures, and argues why avoiding a mismatched, unsellable panel across the whole 5,000-unit run outweighs a quantified premium. Either pitch should be able to answer the Twist without abandoning its own math: the Twist does not prove one order was wrong, only that "the correct order" depends on a cutting-angle input that itself has to be verified, not assumed.</w:t>
      </w:r>
    </w:p>
    <w:p>
      <w:pPr>
        <w:pStyle w:val="Heading2"/>
        <w:spacing w:after="120" w:before="240"/>
      </w:pPr>
      <w:r>
        <w:t xml:space="preserve">The trap</w:t>
      </w:r>
    </w:p>
    <w:p>
      <w:r>
        <w:rPr>
          <w:b/>
          <w:bCs/>
        </w:rPr>
        <w:t xml:space="preserve">Most learners will treat "rotation and reflection are both just simple moves" as meaning they can be applied in either order with the same result</w:t>
      </w:r>
      <w:r>
        <w:t xml:space="preserve"> — and will pick whichever order is easier to draw first in D1, without ever checking it against the seam axis in Appendix A. That is the exact 50/50 guess the case is built to catch: rotation and reflection do not commute in general, and a build that gets the order backward sends the registration point to the opposite side of the panel from where the seam's match line actually is. A pitch that jumps straight to the cost comparison in D6 without first showing, in D1 and D2, </w:t>
      </w:r>
      <w:r>
        <w:rPr>
          <w:i/>
          <w:iCs/>
        </w:rPr>
        <w:t xml:space="preserve">why</w:t>
      </w:r>
      <w:r>
        <w:t xml:space="preserve"> one order is correct for these two seams has skipped the part of the case that makes the Mirror-Match recommendation defensible at all.</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 no explanation (Anchor 1)</w:t>
            </w:r>
          </w:p>
        </w:tc>
      </w:tr>
      <w:tr>
        <w:tc>
          <w:tcPr>
            <w:tcW w:type="dxa" w:w="4500"/>
          </w:tcPr>
          <w:p>
            <w:r>
              <w:t xml:space="preserve">3:00-10:00</w:t>
            </w:r>
          </w:p>
        </w:tc>
        <w:tc>
          <w:tcPr>
            <w:tcW w:type="dxa" w:w="4500"/>
          </w:tcPr>
          <w:p>
            <w:r>
              <w:t xml:space="preserve">Position defense: "Convince us why it's better, not just cheaper (or safer)" (Anchor 2 — define the real question)</w:t>
            </w:r>
          </w:p>
        </w:tc>
      </w:tr>
      <w:tr>
        <w:tc>
          <w:tcPr>
            <w:tcW w:type="dxa" w:w="4500"/>
          </w:tcPr>
          <w:p>
            <w:r>
              <w:t xml:space="preserve">10:00-15:00</w:t>
            </w:r>
          </w:p>
        </w:tc>
        <w:tc>
          <w:tcPr>
            <w:tcW w:type="dxa" w:w="4500"/>
          </w:tcPr>
          <w:p>
            <w:r>
              <w:t xml:space="preserve">Pressure-test the models: "Whose plan is most fragile if the cutting angle turns out different than assumed?" (Anchor 3 and 4 — process and assumptions)</w:t>
            </w:r>
          </w:p>
        </w:tc>
      </w:tr>
      <w:tr>
        <w:tc>
          <w:tcPr>
            <w:tcW w:type="dxa" w:w="4500"/>
          </w:tcPr>
          <w:p>
            <w:r>
              <w:rPr>
                <w:b/>
                <w:bCs/>
              </w:rPr>
              <w:t xml:space="preserve">15:00</w:t>
            </w:r>
          </w:p>
        </w:tc>
        <w:tc>
          <w:tcPr>
            <w:tcW w:type="dxa" w:w="4500"/>
          </w:tcPr>
          <w:p>
            <w:r>
              <w:rPr>
                <w:b/>
                <w:bCs/>
              </w:rPr>
              <w:t xml:space="preserve">DROP THE TWIST</w:t>
            </w:r>
            <w:r>
              <w:t xml:space="preserve"> — the older marker's cutting-angle mismatch, delivered slowly, with pauses</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 two named threads: (1) composition-order precision vs. cost-avoidance, (2) a proven geometric non-commutativity fact vs. a negotiable, sourced yardage-cost estimate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Sensitivity note (SPEC §6)</w:t>
      </w:r>
    </w:p>
    <w:p>
      <w:r>
        <w:rPr>
          <w:b/>
          <w:bCs/>
        </w:rPr>
        <w:t xml:space="preserve">NONE.</w:t>
      </w:r>
      <w:r>
        <w:t xml:space="preserve"> This case carries no SPEC §6 sensitivity — it is routine textile-manufacturing engineering (which marker layout policy a print-repeat engineer recommends for a jacket print run), with no protected subject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2026-09-01T20:41:14.562Z</dcterms:created>
  <dcterms:modified xsi:type="dcterms:W3CDTF">2026-09-01T20:41:14.562Z</dcterms:modified>
</cp:coreProperties>
</file>

<file path=docProps/custom.xml><?xml version="1.0" encoding="utf-8"?>
<Properties xmlns="http://schemas.openxmlformats.org/officeDocument/2006/custom-properties" xmlns:vt="http://schemas.openxmlformats.org/officeDocument/2006/docPropsVTypes"/>
</file>