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3a5c"/>
          <w:sz w:val="40"/>
          <w:szCs w:val="40"/>
        </w:rPr>
        <w:t xml:space="preserve">Case Study: Grant Reach</w:t>
      </w:r>
    </w:p>
    <w:p>
      <w:pPr>
        <w:pBdr>
          <w:bottom w:val="single" w:color="c9a227" w:sz="8" w:space="8"/>
        </w:pBdr>
        <w:spacing w:after="320"/>
      </w:pPr>
      <w:r>
        <w:rPr>
          <w:color w:val="5B6472"/>
          <w:sz w:val="20"/>
          <w:szCs w:val="20"/>
        </w:rPr>
        <w:t xml:space="preserve">MS | Math | Case Study | 2026-27 | Heroes Academy</w:t>
      </w:r>
    </w:p>
    <w:p>
      <w:pPr>
        <w:pStyle w:val="Heading1"/>
        <w:spacing w:after="160" w:before="320"/>
      </w:pPr>
      <w:r>
        <w:t xml:space="preserve">Overview</w:t>
      </w:r>
    </w:p>
    <w:p>
      <w:pPr>
        <w:spacing w:after="160"/>
      </w:pPr>
      <w:r>
        <w:t xml:space="preserve">The printer in the corner of Deja Whitfield's office has been running since 7 a.m., and it still isn't done.</w:t>
      </w:r>
    </w:p>
    <w:p>
      <w:pPr>
        <w:spacing w:after="160"/>
      </w:pPr>
      <w:r>
        <w:t xml:space="preserve">She pulls the newest stack anyway, taps it square, and checks the top sheet against the spreadsheet glowing on her second monitor. Reminder packet. FAFSA renewal deadline. GPA verification deadline. Same two dates, printed in bold, on every single page. Outside her cracked door she can hear the financial aid lobby filling up — it's March, and every March the same thing happens: a wave of students who were fully funded last spring show up in April having quietly lost it all, because a form nobody reminded them about slipped past a deadline nobody reminded them about.</w:t>
      </w:r>
    </w:p>
    <w:p>
      <w:pPr>
        <w:spacing w:after="160"/>
      </w:pPr>
      <w:r>
        <w:t xml:space="preserve">Her director stopped by twenty minutes ago with the number that's still sitting on Deja's desk: this year's mailing budget, final, not one dollar more. Deja has two lists open in two tabs. One is long. One is short. The long one costs money the office doesn't have much of. The short one is free — literally free, funded by a state allowance that covers exactly the students it's built for and not one more.</w:t>
      </w:r>
    </w:p>
    <w:p>
      <w:pPr>
        <w:spacing w:after="160"/>
      </w:pPr>
      <w:r>
        <w:t xml:space="preserve">She minimizes the spreadsheet. On her desk are two mail-house order forms, both filled out, both ready to submit. She has to pick one before the print job even finishes.</w:t>
      </w:r>
    </w:p>
    <w:p>
      <w:pPr>
        <w:pStyle w:val="Heading1"/>
        <w:spacing w:after="160" w:before="320"/>
      </w:pPr>
      <w:r>
        <w:t xml:space="preserve">Background</w:t>
      </w:r>
    </w:p>
    <w:p>
      <w:pPr>
        <w:spacing w:after="160"/>
      </w:pPr>
      <w:r>
        <w:t xml:space="preserve">Deja Whitfield is the Financial Aid Outreach Coordinator at Cascade State University, a mid-size public university in California. Her job is to make sure continuing students who currently receive need-based grant aid actually complete the paperwork to keep it — a federal FAFSA renewal and, for state-grant recipients, an annual GPA verification with the California Student Aid Commission (CSAC). Students who miss either deadline don't get an extension; they lose the aid for the following term (see Appendix A).</w:t>
      </w:r>
    </w:p>
    <w:p>
      <w:pPr>
        <w:spacing w:after="160"/>
      </w:pPr>
      <w:r>
        <w:t xml:space="preserve">Cascade State's aid-renewal population this cycle is 9,000 continuing undergraduates — the students Deja's office is responsible for screening this cycle for federal Pell Grant and/or state Cal Grant eligibility (see Appendix A). Some of these students are eligible for the Pell Grant only, some for the state's Cal Grant only, some for both, and some for neither — Deja's office tracks all four groups because the two programs use different eligibility rules: Pell Grant eligibility is based on a federal need calculation with no single income cutoff, while California's Cal Grant program publishes a flat family-income ceiling that varies by household size (see Appendix A). A student can clear one gate, both, or neither.</w:t>
      </w:r>
    </w:p>
    <w:p>
      <w:pPr>
        <w:spacing w:after="160"/>
      </w:pPr>
      <w:r>
        <w:t xml:space="preserve">Every student who gets a printed reminder packet in the mail is measurably more likely to complete their renewal on time than a student who gets nothing (see Appendix D). Deja's office has budget for exactly one mailing decision this cycle:</w:t>
      </w:r>
    </w:p>
    <w:p>
      <w:pPr>
        <w:spacing w:after="80" w:before="120"/>
      </w:pPr>
      <w:r>
        <w:rPr>
          <w:b/>
          <w:bCs/>
        </w:rPr>
        <w:t xml:space="preserve">Order A — The Full Reach:</w:t>
      </w:r>
    </w:p>
    <w:p>
      <w:pPr>
        <w:spacing w:after="160"/>
      </w:pPr>
      <w:r>
        <w:t xml:space="preserve">Mail a reminder packet to every student in the union of Pell-eligible and state-grant-eligible students — everyone eligible for at least one of the two programs. This is the larger list. There is no state funding mechanism that covers a merged list like this one; every piece is billed to Cascade State's own outreach budget, at the university's commercial mail rate (see Appendix C).</w:t>
      </w:r>
    </w:p>
    <w:p>
      <w:pPr>
        <w:spacing w:after="80" w:before="120"/>
      </w:pPr>
      <w:r>
        <w:rPr>
          <w:b/>
          <w:bCs/>
        </w:rPr>
        <w:t xml:space="preserve">Order B — The Shared Only:</w:t>
      </w:r>
    </w:p>
    <w:p>
      <w:pPr>
        <w:spacing w:after="160"/>
      </w:pPr>
      <w:r>
        <w:t xml:space="preserve">Mail a reminder packet only to the intersection — students who are eligible for both programs at once. CSAC provides participating campuses a small administrative mailing allowance specifically for this shared-eligibility group, and it fully covers the cost. Order B spends zero dollars of Cascade State's own budget. Every student who is Pell-eligible only, or state-eligible only, receives no packet under this order.</w:t>
      </w:r>
    </w:p>
    <w:p>
      <w:pPr>
        <w:spacing w:after="160"/>
      </w:pPr>
      <w:r>
        <w:t xml:space="preserve">Cascade State's total discretionary outreach mailing budget for the year — covering this mailing and everything else Deja's office sends — is $1,600 (see Appendix A).</w:t>
      </w:r>
    </w:p>
    <w:p>
      <w:pPr>
        <w:spacing w:after="160"/>
      </w:pPr>
      <w:r>
        <w:t xml:space="preserve">Appendix A defines the two eligibility sets and the population counts Deja is working from. Appendix B gives the Venn diagram groundwork. Appendix C is the university's actual commercial mail rate table. Appendix D is what's known — and what has to be assumed — about how much a mailed reminder actually moves a student's odds of renewing on time. Appendix E gives the dollar value of the aid itself, for context. Appendix F lists every source. Appendix G is where Challenge 1 sends you.</w:t>
      </w:r>
    </w:p>
    <w:p>
      <w:pPr>
        <w:spacing w:after="160"/>
      </w:pPr>
      <w:r>
        <w:t xml:space="preserve">She has to submit one order.</w:t>
      </w:r>
    </w:p>
    <w:p>
      <w:pPr>
        <w:pStyle w:val="Heading1"/>
        <w:spacing w:after="160" w:before="320"/>
      </w:pPr>
      <w:r>
        <w:t xml:space="preserve">Dilemma</w:t>
      </w:r>
    </w:p>
    <w:p>
      <w:pPr>
        <w:spacing w:after="160"/>
      </w:pPr>
      <w:r>
        <w:t xml:space="preserve">You are Deja Whitfield.</w:t>
      </w:r>
    </w:p>
    <w:p>
      <w:pPr>
        <w:spacing w:after="160"/>
      </w:pPr>
      <w:r>
        <w:t xml:space="preserve">Do you:</w:t>
      </w:r>
    </w:p>
    <w:p>
      <w:pPr>
        <w:spacing w:after="160"/>
      </w:pPr>
      <w:r>
        <w:rPr>
          <w:b/>
          <w:bCs/>
        </w:rPr>
        <w:t xml:space="preserve">A.) </w:t>
      </w:r>
      <w:r>
        <w:t xml:space="preserve">Submit Order A — mail every student in the union of Pell-eligible and state-grant-eligible, funded entirely by the university's own budget </w:t>
      </w:r>
      <w:r>
        <w:rPr>
          <w:b/>
          <w:bCs/>
        </w:rPr>
        <w:t xml:space="preserve">OR</w:t>
      </w:r>
    </w:p>
    <w:p>
      <w:pPr>
        <w:spacing w:after="200"/>
      </w:pPr>
      <w:r>
        <w:rPr>
          <w:b/>
          <w:bCs/>
        </w:rPr>
        <w:t xml:space="preserve">B.) </w:t>
      </w:r>
      <w:r>
        <w:t xml:space="preserve">Submit Order B — mail only the intersection, funded entirely by the state's allowance, at zero cost to the university</w:t>
      </w:r>
    </w:p>
    <w:p>
      <w:pPr>
        <w:pStyle w:val="Heading1"/>
        <w:spacing w:after="160" w:before="320"/>
      </w:pPr>
      <w:r>
        <w:t xml:space="preserve">Challenges</w:t>
      </w:r>
    </w:p>
    <w:p>
      <w:pPr>
        <w:spacing w:after="120"/>
      </w:pPr>
      <w:r>
        <w:t xml:space="preserve">1.) </w:t>
      </w:r>
      <w:r>
        <w:t xml:space="preserve">Research and find an online resource that answers one of the "how to…" questions from the case study launch. Post a link to the resource as your submission.</w:t>
      </w:r>
    </w:p>
    <w:p>
      <w:pPr>
        <w:spacing w:after="80"/>
      </w:pPr>
      <w:r>
        <w:t xml:space="preserve">2.) </w:t>
      </w:r>
      <w:r>
        <w:t xml:space="preserve">Post 250 or more "excellent" words pitching a firm stance to your audience on which you would choose and why. Your pitch must include:</w:t>
      </w:r>
    </w:p>
    <w:p>
      <w:pPr>
        <w:pStyle w:val="ListParagraph"/>
        <w:numPr>
          <w:ilvl w:val="0"/>
          <w:numId w:val="2"/>
        </w:numPr>
        <w:spacing w:after="100"/>
      </w:pPr>
      <w:r>
        <w:t xml:space="preserve">a.) Use of the "how to…" resource you researched in Challenge 1.</w:t>
      </w:r>
    </w:p>
    <w:p>
      <w:pPr>
        <w:pStyle w:val="ListParagraph"/>
        <w:numPr>
          <w:ilvl w:val="0"/>
          <w:numId w:val="2"/>
        </w:numPr>
        <w:spacing w:after="100"/>
      </w:pPr>
      <w:r>
        <w:t xml:space="preserve">b.) At least one original visual display of the data.</w:t>
      </w:r>
    </w:p>
    <w:p>
      <w:pPr>
        <w:spacing w:after="80" w:before="120"/>
      </w:pPr>
      <w:r>
        <w:t xml:space="preserve">3.) </w:t>
      </w:r>
      <w:r>
        <w:t xml:space="preserve">Include the following:</w:t>
      </w:r>
    </w:p>
    <w:p>
      <w:pPr>
        <w:pStyle w:val="ListParagraph"/>
        <w:numPr>
          <w:ilvl w:val="0"/>
          <w:numId w:val="2"/>
        </w:numPr>
        <w:spacing w:after="100"/>
      </w:pPr>
      <w:r>
        <w:t xml:space="preserve">D1 — A labeled Venn diagram of the Pell-eligible set and the state-grant-eligible set for Cascade State's 9,000-student aid-renewal population, showing all four regions: Pell-only, state-only, both, and neither.</w:t>
      </w:r>
    </w:p>
    <w:p>
      <w:pPr>
        <w:pStyle w:val="ListParagraph"/>
        <w:numPr>
          <w:ilvl w:val="0"/>
          <w:numId w:val="2"/>
        </w:numPr>
        <w:spacing w:after="100"/>
      </w:pPr>
      <w:r>
        <w:t xml:space="preserve">D2 — A worked union-and-intersection calculation. Using the union-intersection formula (|Pell ∪ State| = |Pell| + |State| − |Pell ∩ State|), calculate the size of the union algebraically from the counts in Appendix A, and confirm it matches the sum of the regions in your D1 diagram.</w:t>
      </w:r>
    </w:p>
    <w:p>
      <w:pPr>
        <w:pStyle w:val="ListParagraph"/>
        <w:numPr>
          <w:ilvl w:val="0"/>
          <w:numId w:val="2"/>
        </w:numPr>
        <w:spacing w:after="100"/>
      </w:pPr>
      <w:r>
        <w:t xml:space="preserve">D3 — A subset-and-empty-set argument. Show, with set notation, that the intersection is a subset of both the Pell-eligible set and the state-eligible set. Then identify — and justify with a set expression — which group of students is the empty set under Order A, and which group is not empty under Order B.</w:t>
      </w:r>
    </w:p>
    <w:p>
      <w:pPr>
        <w:pStyle w:val="ListParagraph"/>
        <w:numPr>
          <w:ilvl w:val="0"/>
          <w:numId w:val="2"/>
        </w:numPr>
        <w:spacing w:after="100"/>
      </w:pPr>
      <w:r>
        <w:t xml:space="preserve">D4 — A renewal-count projection table for both orders, broken out by region (Pell-only, state-only, both), using the mailed and unmailed renewal rates in Appendix D. Show your arithmetic for each region before you total it.</w:t>
      </w:r>
    </w:p>
    <w:p>
      <w:pPr>
        <w:pStyle w:val="ListParagraph"/>
        <w:numPr>
          <w:ilvl w:val="0"/>
          <w:numId w:val="2"/>
        </w:numPr>
        <w:spacing w:after="100"/>
      </w:pPr>
      <w:r>
        <w:t xml:space="preserve">D5 — A total-cost table for both orders: total pieces mailed, cost per piece, total university dollars spent, and dollars spent per on-time renewal. Report the Order B figures honestly, including anywhere the result is $0.00.</w:t>
      </w:r>
    </w:p>
    <w:p>
      <w:pPr>
        <w:pStyle w:val="ListParagraph"/>
        <w:numPr>
          <w:ilvl w:val="0"/>
          <w:numId w:val="2"/>
        </w:numPr>
        <w:spacing w:after="100"/>
      </w:pPr>
      <w:r>
        <w:t xml:space="preserve">D6 — A one-paragraph comparison stating the total number of on-time renewals under each order and the percentage margin between them.</w:t>
      </w:r>
    </w:p>
    <w:p>
      <w:pPr>
        <w:spacing w:after="120" w:before="120"/>
      </w:pPr>
      <w:r>
        <w:t xml:space="preserve">4.) </w:t>
      </w:r>
      <w:r>
        <w:t xml:space="preserve">An appendix showing evidence of your original thinking, work, calculations and processes you used to complete the challenges (pictures, screenshots, notes, etc.). Your work in the appendix does not count toward your word count.</w:t>
      </w:r>
    </w:p>
    <w:p>
      <w:pPr>
        <w:spacing w:after="200"/>
      </w:pPr>
      <w:r>
        <w:t xml:space="preserve">5.) </w:t>
      </w:r>
      <w:r>
        <w:t xml:space="preserve">Participate twice or more in the Case Study discussion. If you are absent the day of a discussion post 500 "excellent" words on the questions above.</w:t>
      </w:r>
    </w:p>
    <w:p>
      <w:pPr>
        <w:pStyle w:val="Heading1"/>
        <w:spacing w:after="160" w:before="320"/>
      </w:pPr>
      <w:r>
        <w:t xml:space="preserve">Appendix A — Eligibility Sets and the Renewal Population</w:t>
      </w:r>
    </w:p>
    <w:p>
      <w:pPr>
        <w:spacing w:after="160"/>
      </w:pPr>
      <w:r>
        <w:t xml:space="preserve">Cascade State's aid-renewal population is fixed at 9,000 continuing undergraduates for this case (a stated scenario scale — no public roster of a real university's dual-eligibility population exists; see Modeling Assumptions below).</w:t>
      </w:r>
    </w:p>
    <w:p>
      <w:pPr>
        <w:spacing w:after="160"/>
      </w:pPr>
      <w:r>
        <w:rPr>
          <w:b/>
          <w:bCs/>
        </w:rPr>
        <w:t xml:space="preserve">Federal Pell Grant eligibility. </w:t>
      </w:r>
      <w:r>
        <w:t xml:space="preserve">Nationwide, 32.4% of undergraduates were awarded a Pell Grant in AY2023-24 [S1]. Pell eligibility is computed from a federal need formula (the Student Aid Index), not a single income cutoff — a student's family size, assets, and number of household members in college all factor in, which is why Pell eligibility and a flat state income ceiling don't sort students the same way.</w:t>
      </w:r>
    </w:p>
    <w:p>
      <w:pPr>
        <w:spacing w:after="160"/>
      </w:pPr>
      <w:r>
        <w:rPr>
          <w:b/>
          <w:bCs/>
        </w:rPr>
        <w:t xml:space="preserve">California Cal Grant eligibility. </w:t>
      </w:r>
      <w:r>
        <w:t xml:space="preserve">California's Cal Grant program publishes flat income ceilings by household size and grant type (see Table A-1). For a household of four, the 2025-26 ceiling is $135,900 for Cal Grant A/C and $71,500 for Cal Grant B [S3] — both well below the range where most Pell awards phase out, which is why a large majority of Cal-Grant-eligible students are also Pell-eligible, but not all of them (asset limits, dependency status, and household-size adjustments differ between the two programs).</w:t>
      </w:r>
    </w:p>
    <w:p>
      <w:pPr>
        <w:spacing w:after="100" w:before="100"/>
      </w:pPr>
      <w:r>
        <w:rPr>
          <w:b/>
          <w:bCs/>
        </w:rPr>
        <w:t xml:space="preserve">Table A-1 — 2025-26 Cal Grant Income Ceilings by Household Size [S3]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200"/>
      </w:tblGrid>
      <w:tr>
        <w:trPr>
          <w:tblHeader/>
        </w:trPr>
        <w:tc>
          <w:tcPr>
            <w:tcW w:type="dxa" w:w="3400"/>
            <w:shd w:fill="1a3a5c" w:color="auto" w:val="clear"/>
            <w:tcMar>
              <w:top w:type="dxa" w:w="60"/>
              <w:left w:type="dxa" w:w="100"/>
              <w:bottom w:type="dxa" w:w="60"/>
              <w:right w:type="dxa" w:w="100"/>
            </w:tcMar>
            <w:vAlign w:val="center"/>
          </w:tcPr>
          <w:p>
            <w:pPr>
              <w:jc w:val="left"/>
            </w:pPr>
            <w:r>
              <w:rPr>
                <w:b/>
                <w:bCs/>
                <w:sz w:val="19"/>
                <w:szCs w:val="19"/>
              </w:rPr>
              <w:t xml:space="preserve">Household size</w:t>
            </w:r>
          </w:p>
        </w:tc>
        <w:tc>
          <w:tcPr>
            <w:tcW w:type="dxa" w:w="3200"/>
            <w:shd w:fill="1a3a5c" w:color="auto" w:val="clear"/>
            <w:tcMar>
              <w:top w:type="dxa" w:w="60"/>
              <w:left w:type="dxa" w:w="100"/>
              <w:bottom w:type="dxa" w:w="60"/>
              <w:right w:type="dxa" w:w="100"/>
            </w:tcMar>
            <w:vAlign w:val="center"/>
          </w:tcPr>
          <w:p>
            <w:pPr>
              <w:jc w:val="left"/>
            </w:pPr>
            <w:r>
              <w:rPr>
                <w:b/>
                <w:bCs/>
                <w:sz w:val="19"/>
                <w:szCs w:val="19"/>
              </w:rPr>
              <w:t xml:space="preserve">Cal Grant A &amp; C</w:t>
            </w:r>
          </w:p>
        </w:tc>
        <w:tc>
          <w:tcPr>
            <w:tcW w:type="dxa" w:w="3200"/>
            <w:shd w:fill="1a3a5c" w:color="auto" w:val="clear"/>
            <w:tcMar>
              <w:top w:type="dxa" w:w="60"/>
              <w:left w:type="dxa" w:w="100"/>
              <w:bottom w:type="dxa" w:w="60"/>
              <w:right w:type="dxa" w:w="100"/>
            </w:tcMar>
            <w:vAlign w:val="center"/>
          </w:tcPr>
          <w:p>
            <w:pPr>
              <w:jc w:val="left"/>
            </w:pPr>
            <w:r>
              <w:rPr>
                <w:b/>
                <w:bCs/>
                <w:sz w:val="19"/>
                <w:szCs w:val="19"/>
              </w:rPr>
              <w:t xml:space="preserve">Cal Grant B</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2</w:t>
            </w:r>
          </w:p>
        </w:tc>
        <w:tc>
          <w:tcPr>
            <w:tcW w:type="dxa" w:w="3200"/>
            <w:tcMar>
              <w:top w:type="dxa" w:w="60"/>
              <w:left w:type="dxa" w:w="100"/>
              <w:bottom w:type="dxa" w:w="60"/>
              <w:right w:type="dxa" w:w="100"/>
            </w:tcMar>
            <w:vAlign w:val="center"/>
          </w:tcPr>
          <w:p>
            <w:pPr>
              <w:jc w:val="left"/>
            </w:pPr>
            <w:r>
              <w:rPr>
                <w:b w:val="false"/>
                <w:bCs w:val="false"/>
                <w:sz w:val="19"/>
                <w:szCs w:val="19"/>
              </w:rPr>
              <w:t xml:space="preserve">$122,100</w:t>
            </w:r>
          </w:p>
        </w:tc>
        <w:tc>
          <w:tcPr>
            <w:tcW w:type="dxa" w:w="3200"/>
            <w:tcMar>
              <w:top w:type="dxa" w:w="60"/>
              <w:left w:type="dxa" w:w="100"/>
              <w:bottom w:type="dxa" w:w="60"/>
              <w:right w:type="dxa" w:w="100"/>
            </w:tcMar>
            <w:vAlign w:val="center"/>
          </w:tcPr>
          <w:p>
            <w:pPr>
              <w:jc w:val="left"/>
            </w:pPr>
            <w:r>
              <w:rPr>
                <w:b w:val="false"/>
                <w:bCs w:val="false"/>
                <w:sz w:val="19"/>
                <w:szCs w:val="19"/>
              </w:rPr>
              <w:t xml:space="preserve">$57,000</w:t>
            </w:r>
          </w:p>
        </w:tc>
      </w:tr>
      <w:tr>
        <w:tc>
          <w:tcPr>
            <w:tcW w:type="dxa" w:w="3400"/>
            <w:shd w:fill="F7F9FB" w:color="auto" w:val="clear"/>
            <w:tcMar>
              <w:top w:type="dxa" w:w="60"/>
              <w:left w:type="dxa" w:w="100"/>
              <w:bottom w:type="dxa" w:w="60"/>
              <w:right w:type="dxa" w:w="100"/>
            </w:tcMar>
            <w:vAlign w:val="center"/>
          </w:tcPr>
          <w:p>
            <w:pPr>
              <w:jc w:val="left"/>
            </w:pPr>
            <w:r>
              <w:rPr>
                <w:b w:val="false"/>
                <w:bCs w:val="false"/>
                <w:sz w:val="19"/>
                <w:szCs w:val="19"/>
              </w:rPr>
              <w:t xml:space="preserve">3</w:t>
            </w:r>
          </w:p>
        </w:tc>
        <w:tc>
          <w:tcPr>
            <w:tcW w:type="dxa" w:w="3200"/>
            <w:shd w:fill="F7F9FB" w:color="auto" w:val="clear"/>
            <w:tcMar>
              <w:top w:type="dxa" w:w="60"/>
              <w:left w:type="dxa" w:w="100"/>
              <w:bottom w:type="dxa" w:w="60"/>
              <w:right w:type="dxa" w:w="100"/>
            </w:tcMar>
            <w:vAlign w:val="center"/>
          </w:tcPr>
          <w:p>
            <w:pPr>
              <w:jc w:val="left"/>
            </w:pPr>
            <w:r>
              <w:rPr>
                <w:b w:val="false"/>
                <w:bCs w:val="false"/>
                <w:sz w:val="19"/>
                <w:szCs w:val="19"/>
              </w:rPr>
              <w:t xml:space="preserve">$125,100</w:t>
            </w:r>
          </w:p>
        </w:tc>
        <w:tc>
          <w:tcPr>
            <w:tcW w:type="dxa" w:w="3200"/>
            <w:shd w:fill="F7F9FB" w:color="auto" w:val="clear"/>
            <w:tcMar>
              <w:top w:type="dxa" w:w="60"/>
              <w:left w:type="dxa" w:w="100"/>
              <w:bottom w:type="dxa" w:w="60"/>
              <w:right w:type="dxa" w:w="100"/>
            </w:tcMar>
            <w:vAlign w:val="center"/>
          </w:tcPr>
          <w:p>
            <w:pPr>
              <w:jc w:val="left"/>
            </w:pPr>
            <w:r>
              <w:rPr>
                <w:b w:val="false"/>
                <w:bCs w:val="false"/>
                <w:sz w:val="19"/>
                <w:szCs w:val="19"/>
              </w:rPr>
              <w:t xml:space="preserve">$64,200</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4</w:t>
            </w:r>
          </w:p>
        </w:tc>
        <w:tc>
          <w:tcPr>
            <w:tcW w:type="dxa" w:w="3200"/>
            <w:tcMar>
              <w:top w:type="dxa" w:w="60"/>
              <w:left w:type="dxa" w:w="100"/>
              <w:bottom w:type="dxa" w:w="60"/>
              <w:right w:type="dxa" w:w="100"/>
            </w:tcMar>
            <w:vAlign w:val="center"/>
          </w:tcPr>
          <w:p>
            <w:pPr>
              <w:jc w:val="left"/>
            </w:pPr>
            <w:r>
              <w:rPr>
                <w:b w:val="false"/>
                <w:bCs w:val="false"/>
                <w:sz w:val="19"/>
                <w:szCs w:val="19"/>
              </w:rPr>
              <w:t xml:space="preserve">$135,900</w:t>
            </w:r>
          </w:p>
        </w:tc>
        <w:tc>
          <w:tcPr>
            <w:tcW w:type="dxa" w:w="3200"/>
            <w:tcMar>
              <w:top w:type="dxa" w:w="60"/>
              <w:left w:type="dxa" w:w="100"/>
              <w:bottom w:type="dxa" w:w="60"/>
              <w:right w:type="dxa" w:w="100"/>
            </w:tcMar>
            <w:vAlign w:val="center"/>
          </w:tcPr>
          <w:p>
            <w:pPr>
              <w:jc w:val="left"/>
            </w:pPr>
            <w:r>
              <w:rPr>
                <w:b w:val="false"/>
                <w:bCs w:val="false"/>
                <w:sz w:val="19"/>
                <w:szCs w:val="19"/>
              </w:rPr>
              <w:t xml:space="preserve">$71,500</w:t>
            </w:r>
          </w:p>
        </w:tc>
      </w:tr>
      <w:tr>
        <w:tc>
          <w:tcPr>
            <w:tcW w:type="dxa" w:w="3400"/>
            <w:shd w:fill="F7F9FB" w:color="auto" w:val="clear"/>
            <w:tcMar>
              <w:top w:type="dxa" w:w="60"/>
              <w:left w:type="dxa" w:w="100"/>
              <w:bottom w:type="dxa" w:w="60"/>
              <w:right w:type="dxa" w:w="100"/>
            </w:tcMar>
            <w:vAlign w:val="center"/>
          </w:tcPr>
          <w:p>
            <w:pPr>
              <w:jc w:val="left"/>
            </w:pPr>
            <w:r>
              <w:rPr>
                <w:b w:val="false"/>
                <w:bCs w:val="false"/>
                <w:sz w:val="19"/>
                <w:szCs w:val="19"/>
              </w:rPr>
              <w:t xml:space="preserve">5</w:t>
            </w:r>
          </w:p>
        </w:tc>
        <w:tc>
          <w:tcPr>
            <w:tcW w:type="dxa" w:w="3200"/>
            <w:shd w:fill="F7F9FB" w:color="auto" w:val="clear"/>
            <w:tcMar>
              <w:top w:type="dxa" w:w="60"/>
              <w:left w:type="dxa" w:w="100"/>
              <w:bottom w:type="dxa" w:w="60"/>
              <w:right w:type="dxa" w:w="100"/>
            </w:tcMar>
            <w:vAlign w:val="center"/>
          </w:tcPr>
          <w:p>
            <w:pPr>
              <w:jc w:val="left"/>
            </w:pPr>
            <w:r>
              <w:rPr>
                <w:b w:val="false"/>
                <w:bCs w:val="false"/>
                <w:sz w:val="19"/>
                <w:szCs w:val="19"/>
              </w:rPr>
              <w:t xml:space="preserve">$145,700</w:t>
            </w:r>
          </w:p>
        </w:tc>
        <w:tc>
          <w:tcPr>
            <w:tcW w:type="dxa" w:w="3200"/>
            <w:shd w:fill="F7F9FB" w:color="auto" w:val="clear"/>
            <w:tcMar>
              <w:top w:type="dxa" w:w="60"/>
              <w:left w:type="dxa" w:w="100"/>
              <w:bottom w:type="dxa" w:w="60"/>
              <w:right w:type="dxa" w:w="100"/>
            </w:tcMar>
            <w:vAlign w:val="center"/>
          </w:tcPr>
          <w:p>
            <w:pPr>
              <w:jc w:val="left"/>
            </w:pPr>
            <w:r>
              <w:rPr>
                <w:b w:val="false"/>
                <w:bCs w:val="false"/>
                <w:sz w:val="19"/>
                <w:szCs w:val="19"/>
              </w:rPr>
              <w:t xml:space="preserve">$79,900</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6 or more</w:t>
            </w:r>
          </w:p>
        </w:tc>
        <w:tc>
          <w:tcPr>
            <w:tcW w:type="dxa" w:w="3200"/>
            <w:tcMar>
              <w:top w:type="dxa" w:w="60"/>
              <w:left w:type="dxa" w:w="100"/>
              <w:bottom w:type="dxa" w:w="60"/>
              <w:right w:type="dxa" w:w="100"/>
            </w:tcMar>
            <w:vAlign w:val="center"/>
          </w:tcPr>
          <w:p>
            <w:pPr>
              <w:jc w:val="left"/>
            </w:pPr>
            <w:r>
              <w:rPr>
                <w:b w:val="false"/>
                <w:bCs w:val="false"/>
                <w:sz w:val="19"/>
                <w:szCs w:val="19"/>
              </w:rPr>
              <w:t xml:space="preserve">$157,100</w:t>
            </w:r>
          </w:p>
        </w:tc>
        <w:tc>
          <w:tcPr>
            <w:tcW w:type="dxa" w:w="3200"/>
            <w:tcMar>
              <w:top w:type="dxa" w:w="60"/>
              <w:left w:type="dxa" w:w="100"/>
              <w:bottom w:type="dxa" w:w="60"/>
              <w:right w:type="dxa" w:w="100"/>
            </w:tcMar>
            <w:vAlign w:val="center"/>
          </w:tcPr>
          <w:p>
            <w:pPr>
              <w:jc w:val="left"/>
            </w:pPr>
            <w:r>
              <w:rPr>
                <w:b w:val="false"/>
                <w:bCs w:val="false"/>
                <w:sz w:val="19"/>
                <w:szCs w:val="19"/>
              </w:rPr>
              <w:t xml:space="preserve">$86,300</w:t>
            </w:r>
          </w:p>
        </w:tc>
      </w:tr>
    </w:tbl>
    <w:p>
      <w:pPr>
        <w:spacing w:after="200"/>
      </w:pPr>
    </w:p>
    <w:p>
      <w:pPr>
        <w:pStyle w:val="Heading1"/>
        <w:spacing w:after="160" w:before="320"/>
      </w:pPr>
      <w:r>
        <w:t xml:space="preserve">Modeling Assumptions</w:t>
      </w:r>
    </w:p>
    <w:p>
      <w:pPr>
        <w:pBdr>
          <w:left w:val="single" w:color="c9a227" w:sz="24" w:space="8"/>
        </w:pBdr>
        <w:shd w:fill="f7edcf" w:color="auto" w:val="clear"/>
        <w:spacing w:after="200"/>
        <w:ind w:left="100"/>
      </w:pPr>
      <w:r>
        <w:rPr>
          <w:i/>
          <w:iCs/>
          <w:color w:val="4A3F1E"/>
        </w:rPr>
        <w:t xml:space="preserve">These figures are not sourced to a real per-university roster — no public dataset reports how many students at any specific university are Pell-eligible only, state-eligible only, or both. They are stated scenario assumptions, built from real statewide and national rates so the case's population is realistic rather than arbitrary. A Hero may challenge them in discussion — that is a legitimate move.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600"/>
        <w:gridCol w:w="3700"/>
        <w:gridCol w:w="2080"/>
      </w:tblGrid>
      <w:tr>
        <w:trPr>
          <w:tblHeader/>
        </w:trPr>
        <w:tc>
          <w:tcPr>
            <w:tcW w:type="dxa" w:w="500"/>
            <w:shd w:fill="1a3a5c" w:color="auto" w:val="clear"/>
            <w:tcMar>
              <w:top w:type="dxa" w:w="60"/>
              <w:left w:type="dxa" w:w="100"/>
              <w:bottom w:type="dxa" w:w="60"/>
              <w:right w:type="dxa" w:w="100"/>
            </w:tcMar>
            <w:vAlign w:val="center"/>
          </w:tcPr>
          <w:p>
            <w:pPr>
              <w:jc w:val="left"/>
            </w:pPr>
            <w:r>
              <w:rPr>
                <w:b/>
                <w:bCs/>
                <w:sz w:val="19"/>
                <w:szCs w:val="19"/>
              </w:rPr>
              <w:t xml:space="preserve">#</w:t>
            </w:r>
          </w:p>
        </w:tc>
        <w:tc>
          <w:tcPr>
            <w:tcW w:type="dxa" w:w="2200"/>
            <w:shd w:fill="1a3a5c" w:color="auto" w:val="clear"/>
            <w:tcMar>
              <w:top w:type="dxa" w:w="60"/>
              <w:left w:type="dxa" w:w="100"/>
              <w:bottom w:type="dxa" w:w="60"/>
              <w:right w:type="dxa" w:w="100"/>
            </w:tcMar>
            <w:vAlign w:val="center"/>
          </w:tcPr>
          <w:p>
            <w:pPr>
              <w:jc w:val="left"/>
            </w:pPr>
            <w:r>
              <w:rPr>
                <w:b/>
                <w:bCs/>
                <w:sz w:val="19"/>
                <w:szCs w:val="19"/>
              </w:rPr>
              <w:t xml:space="preserve">Assumption</w:t>
            </w:r>
          </w:p>
        </w:tc>
        <w:tc>
          <w:tcPr>
            <w:tcW w:type="dxa" w:w="1600"/>
            <w:shd w:fill="1a3a5c" w:color="auto" w:val="clear"/>
            <w:tcMar>
              <w:top w:type="dxa" w:w="60"/>
              <w:left w:type="dxa" w:w="100"/>
              <w:bottom w:type="dxa" w:w="60"/>
              <w:right w:type="dxa" w:w="100"/>
            </w:tcMar>
            <w:vAlign w:val="center"/>
          </w:tcPr>
          <w:p>
            <w:pPr>
              <w:jc w:val="left"/>
            </w:pPr>
            <w:r>
              <w:rPr>
                <w:b/>
                <w:bCs/>
                <w:sz w:val="19"/>
                <w:szCs w:val="19"/>
              </w:rPr>
              <w:t xml:space="preserve">Value used</w:t>
            </w:r>
          </w:p>
        </w:tc>
        <w:tc>
          <w:tcPr>
            <w:tcW w:type="dxa" w:w="3700"/>
            <w:shd w:fill="1a3a5c" w:color="auto" w:val="clear"/>
            <w:tcMar>
              <w:top w:type="dxa" w:w="60"/>
              <w:left w:type="dxa" w:w="100"/>
              <w:bottom w:type="dxa" w:w="60"/>
              <w:right w:type="dxa" w:w="100"/>
            </w:tcMar>
            <w:vAlign w:val="center"/>
          </w:tcPr>
          <w:p>
            <w:pPr>
              <w:jc w:val="left"/>
            </w:pPr>
            <w:r>
              <w:rPr>
                <w:b/>
                <w:bCs/>
                <w:sz w:val="19"/>
                <w:szCs w:val="19"/>
              </w:rPr>
              <w:t xml:space="preserve">Basis</w:t>
            </w:r>
          </w:p>
        </w:tc>
        <w:tc>
          <w:tcPr>
            <w:tcW w:type="dxa" w:w="2080"/>
            <w:shd w:fill="1a3a5c" w:color="auto" w:val="clear"/>
            <w:tcMar>
              <w:top w:type="dxa" w:w="60"/>
              <w:left w:type="dxa" w:w="100"/>
              <w:bottom w:type="dxa" w:w="60"/>
              <w:right w:type="dxa" w:w="100"/>
            </w:tcMar>
            <w:vAlign w:val="center"/>
          </w:tcPr>
          <w:p>
            <w:pPr>
              <w:jc w:val="left"/>
            </w:pPr>
            <w:r>
              <w:rPr>
                <w:b/>
                <w:bCs/>
                <w:sz w:val="19"/>
                <w:szCs w:val="19"/>
              </w:rPr>
              <w:t xml:space="preserve">Sensitivity</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MA1</w:t>
            </w:r>
          </w:p>
        </w:tc>
        <w:tc>
          <w:tcPr>
            <w:tcW w:type="dxa" w:w="2200"/>
            <w:tcMar>
              <w:top w:type="dxa" w:w="60"/>
              <w:left w:type="dxa" w:w="100"/>
              <w:bottom w:type="dxa" w:w="60"/>
              <w:right w:type="dxa" w:w="100"/>
            </w:tcMar>
            <w:vAlign w:val="center"/>
          </w:tcPr>
          <w:p>
            <w:pPr>
              <w:jc w:val="left"/>
            </w:pPr>
            <w:r>
              <w:rPr>
                <w:b w:val="false"/>
                <w:bCs w:val="false"/>
                <w:sz w:val="19"/>
                <w:szCs w:val="19"/>
              </w:rPr>
              <w:t xml:space="preserve">Size of Cascade State's aid-renewal population</w:t>
            </w:r>
          </w:p>
        </w:tc>
        <w:tc>
          <w:tcPr>
            <w:tcW w:type="dxa" w:w="1600"/>
            <w:tcMar>
              <w:top w:type="dxa" w:w="60"/>
              <w:left w:type="dxa" w:w="100"/>
              <w:bottom w:type="dxa" w:w="60"/>
              <w:right w:type="dxa" w:w="100"/>
            </w:tcMar>
            <w:vAlign w:val="center"/>
          </w:tcPr>
          <w:p>
            <w:pPr>
              <w:jc w:val="left"/>
            </w:pPr>
            <w:r>
              <w:rPr>
                <w:b w:val="false"/>
                <w:bCs w:val="false"/>
                <w:sz w:val="19"/>
                <w:szCs w:val="19"/>
              </w:rPr>
              <w:t xml:space="preserve">9,000 students</w:t>
            </w:r>
          </w:p>
        </w:tc>
        <w:tc>
          <w:tcPr>
            <w:tcW w:type="dxa" w:w="3700"/>
            <w:tcMar>
              <w:top w:type="dxa" w:w="60"/>
              <w:left w:type="dxa" w:w="100"/>
              <w:bottom w:type="dxa" w:w="60"/>
              <w:right w:type="dxa" w:w="100"/>
            </w:tcMar>
            <w:vAlign w:val="center"/>
          </w:tcPr>
          <w:p>
            <w:pPr>
              <w:jc w:val="left"/>
            </w:pPr>
            <w:r>
              <w:rPr>
                <w:b w:val="false"/>
                <w:bCs w:val="false"/>
                <w:sz w:val="19"/>
                <w:szCs w:val="19"/>
              </w:rPr>
              <w:t xml:space="preserve">Stated scenario scale, chosen to keep the arithmetic in easy multi-step reach for the challenges.</w:t>
            </w:r>
          </w:p>
        </w:tc>
        <w:tc>
          <w:tcPr>
            <w:tcW w:type="dxa" w:w="2080"/>
            <w:tcMar>
              <w:top w:type="dxa" w:w="60"/>
              <w:left w:type="dxa" w:w="100"/>
              <w:bottom w:type="dxa" w:w="60"/>
              <w:right w:type="dxa" w:w="100"/>
            </w:tcMar>
            <w:vAlign w:val="center"/>
          </w:tcPr>
          <w:p>
            <w:pPr>
              <w:jc w:val="left"/>
            </w:pPr>
            <w:r>
              <w:rPr>
                <w:b w:val="false"/>
                <w:bCs w:val="false"/>
                <w:sz w:val="19"/>
                <w:szCs w:val="19"/>
              </w:rPr>
              <w:t xml:space="preserve">This figure scales the mailed counts and the renewal counts in direct proportion — since the challenges compare rates and dollar totals, not this raw count by itself, the answer is not sensitive to this value.</w:t>
            </w:r>
          </w:p>
        </w:tc>
      </w:tr>
      <w:tr>
        <w:tc>
          <w:tcPr>
            <w:tcW w:type="dxa" w:w="500"/>
            <w:shd w:fill="F7F9FB" w:color="auto" w:val="clear"/>
            <w:tcMar>
              <w:top w:type="dxa" w:w="60"/>
              <w:left w:type="dxa" w:w="100"/>
              <w:bottom w:type="dxa" w:w="60"/>
              <w:right w:type="dxa" w:w="100"/>
            </w:tcMar>
            <w:vAlign w:val="center"/>
          </w:tcPr>
          <w:p>
            <w:pPr>
              <w:jc w:val="left"/>
            </w:pPr>
            <w:r>
              <w:rPr>
                <w:b w:val="false"/>
                <w:bCs w:val="false"/>
                <w:sz w:val="19"/>
                <w:szCs w:val="19"/>
              </w:rPr>
              <w:t xml:space="preserve">MA2</w:t>
            </w:r>
          </w:p>
        </w:tc>
        <w:tc>
          <w:tcPr>
            <w:tcW w:type="dxa" w:w="2200"/>
            <w:shd w:fill="F7F9FB" w:color="auto" w:val="clear"/>
            <w:tcMar>
              <w:top w:type="dxa" w:w="60"/>
              <w:left w:type="dxa" w:w="100"/>
              <w:bottom w:type="dxa" w:w="60"/>
              <w:right w:type="dxa" w:w="100"/>
            </w:tcMar>
            <w:vAlign w:val="center"/>
          </w:tcPr>
          <w:p>
            <w:pPr>
              <w:jc w:val="left"/>
            </w:pPr>
            <w:r>
              <w:rPr>
                <w:b w:val="false"/>
                <w:bCs w:val="false"/>
                <w:sz w:val="19"/>
                <w:szCs w:val="19"/>
              </w:rPr>
              <w:t xml:space="preserve">Share of the population that is state-grant-eligible</w:t>
            </w:r>
          </w:p>
        </w:tc>
        <w:tc>
          <w:tcPr>
            <w:tcW w:type="dxa" w:w="1600"/>
            <w:shd w:fill="F7F9FB" w:color="auto" w:val="clear"/>
            <w:tcMar>
              <w:top w:type="dxa" w:w="60"/>
              <w:left w:type="dxa" w:w="100"/>
              <w:bottom w:type="dxa" w:w="60"/>
              <w:right w:type="dxa" w:w="100"/>
            </w:tcMar>
            <w:vAlign w:val="center"/>
          </w:tcPr>
          <w:p>
            <w:pPr>
              <w:jc w:val="left"/>
            </w:pPr>
            <w:r>
              <w:rPr>
                <w:b w:val="false"/>
                <w:bCs w:val="false"/>
                <w:sz w:val="19"/>
                <w:szCs w:val="19"/>
              </w:rPr>
              <w:t xml:space="preserve">18.6% (→ 1,670 students)</w:t>
            </w:r>
          </w:p>
        </w:tc>
        <w:tc>
          <w:tcPr>
            <w:tcW w:type="dxa" w:w="3700"/>
            <w:shd w:fill="F7F9FB" w:color="auto" w:val="clear"/>
            <w:tcMar>
              <w:top w:type="dxa" w:w="60"/>
              <w:left w:type="dxa" w:w="100"/>
              <w:bottom w:type="dxa" w:w="60"/>
              <w:right w:type="dxa" w:w="100"/>
            </w:tcMar>
            <w:vAlign w:val="center"/>
          </w:tcPr>
          <w:p>
            <w:pPr>
              <w:jc w:val="left"/>
            </w:pPr>
            <w:r>
              <w:rPr>
                <w:b w:val="false"/>
                <w:bCs w:val="false"/>
                <w:sz w:val="19"/>
                <w:szCs w:val="19"/>
              </w:rPr>
              <w:t xml:space="preserve">Anchored to California's actual statewide ratio: 453,000 Cal Grant recipients in AY2024-25 [S4] against 2,440,631 total California undergraduates [S5] — applying the statewide rate to Cascade State assumes its income profile is close to the state average, which will not be exactly true for any real campus.</w:t>
            </w:r>
          </w:p>
        </w:tc>
        <w:tc>
          <w:tcPr>
            <w:tcW w:type="dxa" w:w="2080"/>
            <w:shd w:fill="F7F9FB" w:color="auto" w:val="clear"/>
            <w:tcMar>
              <w:top w:type="dxa" w:w="60"/>
              <w:left w:type="dxa" w:w="100"/>
              <w:bottom w:type="dxa" w:w="60"/>
              <w:right w:type="dxa" w:w="100"/>
            </w:tcMar>
            <w:vAlign w:val="center"/>
          </w:tcPr>
          <w:p>
            <w:pPr>
              <w:jc w:val="left"/>
            </w:pPr>
            <w:r>
              <w:rPr>
                <w:b w:val="false"/>
                <w:bCs w:val="false"/>
                <w:sz w:val="19"/>
                <w:szCs w:val="19"/>
              </w:rPr>
              <w:t xml:space="preserve">The answer is sensitive to this value.</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MA3</w:t>
            </w:r>
          </w:p>
        </w:tc>
        <w:tc>
          <w:tcPr>
            <w:tcW w:type="dxa" w:w="2200"/>
            <w:tcMar>
              <w:top w:type="dxa" w:w="60"/>
              <w:left w:type="dxa" w:w="100"/>
              <w:bottom w:type="dxa" w:w="60"/>
              <w:right w:type="dxa" w:w="100"/>
            </w:tcMar>
            <w:vAlign w:val="center"/>
          </w:tcPr>
          <w:p>
            <w:pPr>
              <w:jc w:val="left"/>
            </w:pPr>
            <w:r>
              <w:rPr>
                <w:b w:val="false"/>
                <w:bCs w:val="false"/>
                <w:sz w:val="19"/>
                <w:szCs w:val="19"/>
              </w:rPr>
              <w:t xml:space="preserve">Share of state-eligible students who are also Pell-eligible (the overlap)</w:t>
            </w:r>
          </w:p>
        </w:tc>
        <w:tc>
          <w:tcPr>
            <w:tcW w:type="dxa" w:w="1600"/>
            <w:tcMar>
              <w:top w:type="dxa" w:w="60"/>
              <w:left w:type="dxa" w:w="100"/>
              <w:bottom w:type="dxa" w:w="60"/>
              <w:right w:type="dxa" w:w="100"/>
            </w:tcMar>
            <w:vAlign w:val="center"/>
          </w:tcPr>
          <w:p>
            <w:pPr>
              <w:jc w:val="left"/>
            </w:pPr>
            <w:r>
              <w:rPr>
                <w:b w:val="false"/>
                <w:bCs w:val="false"/>
                <w:sz w:val="19"/>
                <w:szCs w:val="19"/>
              </w:rPr>
              <w:t xml:space="preserve">80% (→ 1,336 students in the intersection)</w:t>
            </w:r>
          </w:p>
        </w:tc>
        <w:tc>
          <w:tcPr>
            <w:tcW w:type="dxa" w:w="3700"/>
            <w:tcMar>
              <w:top w:type="dxa" w:w="60"/>
              <w:left w:type="dxa" w:w="100"/>
              <w:bottom w:type="dxa" w:w="60"/>
              <w:right w:type="dxa" w:w="100"/>
            </w:tcMar>
            <w:vAlign w:val="center"/>
          </w:tcPr>
          <w:p>
            <w:pPr>
              <w:jc w:val="left"/>
            </w:pPr>
            <w:r>
              <w:rPr>
                <w:b w:val="false"/>
                <w:bCs w:val="false"/>
                <w:sz w:val="19"/>
                <w:szCs w:val="19"/>
              </w:rPr>
              <w:t xml:space="preserve">Basis is qualitative, not a measured overlap statistic (none is public): Table A-1's Cal Grant B ceiling ($71,500 for a household of four) sits well inside the income range where most families still qualify for at least a partial Pell award, so most — but not all — Cal-Grant-eligible students should also clear the Pell bar. Independent-student status, assets, and household-size differences between the two programs' formulas keep the overlap below 100%.</w:t>
            </w:r>
          </w:p>
        </w:tc>
        <w:tc>
          <w:tcPr>
            <w:tcW w:type="dxa" w:w="2080"/>
            <w:tcMar>
              <w:top w:type="dxa" w:w="60"/>
              <w:left w:type="dxa" w:w="100"/>
              <w:bottom w:type="dxa" w:w="60"/>
              <w:right w:type="dxa" w:w="100"/>
            </w:tcMar>
            <w:vAlign w:val="center"/>
          </w:tcPr>
          <w:p>
            <w:pPr>
              <w:jc w:val="left"/>
            </w:pPr>
            <w:r>
              <w:rPr>
                <w:b w:val="false"/>
                <w:bCs w:val="false"/>
                <w:sz w:val="19"/>
                <w:szCs w:val="19"/>
              </w:rPr>
              <w:t xml:space="preserve">The answer is sensitive to this value.</w:t>
            </w:r>
          </w:p>
        </w:tc>
      </w:tr>
      <w:tr>
        <w:tc>
          <w:tcPr>
            <w:tcW w:type="dxa" w:w="500"/>
            <w:shd w:fill="F7F9FB" w:color="auto" w:val="clear"/>
            <w:tcMar>
              <w:top w:type="dxa" w:w="60"/>
              <w:left w:type="dxa" w:w="100"/>
              <w:bottom w:type="dxa" w:w="60"/>
              <w:right w:type="dxa" w:w="100"/>
            </w:tcMar>
            <w:vAlign w:val="center"/>
          </w:tcPr>
          <w:p>
            <w:pPr>
              <w:jc w:val="left"/>
            </w:pPr>
            <w:r>
              <w:rPr>
                <w:b w:val="false"/>
                <w:bCs w:val="false"/>
                <w:sz w:val="19"/>
                <w:szCs w:val="19"/>
              </w:rPr>
              <w:t xml:space="preserve">MA4</w:t>
            </w:r>
          </w:p>
        </w:tc>
        <w:tc>
          <w:tcPr>
            <w:tcW w:type="dxa" w:w="2200"/>
            <w:shd w:fill="F7F9FB" w:color="auto" w:val="clear"/>
            <w:tcMar>
              <w:top w:type="dxa" w:w="60"/>
              <w:left w:type="dxa" w:w="100"/>
              <w:bottom w:type="dxa" w:w="60"/>
              <w:right w:type="dxa" w:w="100"/>
            </w:tcMar>
            <w:vAlign w:val="center"/>
          </w:tcPr>
          <w:p>
            <w:pPr>
              <w:jc w:val="left"/>
            </w:pPr>
            <w:r>
              <w:rPr>
                <w:b w:val="false"/>
                <w:bCs w:val="false"/>
                <w:sz w:val="19"/>
                <w:szCs w:val="19"/>
              </w:rPr>
              <w:t xml:space="preserve">On-time renewal rate for a student who receives no mailed reminder</w:t>
            </w:r>
          </w:p>
        </w:tc>
        <w:tc>
          <w:tcPr>
            <w:tcW w:type="dxa" w:w="1600"/>
            <w:shd w:fill="F7F9FB" w:color="auto" w:val="clear"/>
            <w:tcMar>
              <w:top w:type="dxa" w:w="60"/>
              <w:left w:type="dxa" w:w="100"/>
              <w:bottom w:type="dxa" w:w="60"/>
              <w:right w:type="dxa" w:w="100"/>
            </w:tcMar>
            <w:vAlign w:val="center"/>
          </w:tcPr>
          <w:p>
            <w:pPr>
              <w:jc w:val="left"/>
            </w:pPr>
            <w:r>
              <w:rPr>
                <w:b w:val="false"/>
                <w:bCs w:val="false"/>
                <w:sz w:val="19"/>
                <w:szCs w:val="19"/>
              </w:rPr>
              <w:t xml:space="preserve">55%</w:t>
            </w:r>
          </w:p>
        </w:tc>
        <w:tc>
          <w:tcPr>
            <w:tcW w:type="dxa" w:w="3700"/>
            <w:shd w:fill="F7F9FB" w:color="auto" w:val="clear"/>
            <w:tcMar>
              <w:top w:type="dxa" w:w="60"/>
              <w:left w:type="dxa" w:w="100"/>
              <w:bottom w:type="dxa" w:w="60"/>
              <w:right w:type="dxa" w:w="100"/>
            </w:tcMar>
            <w:vAlign w:val="center"/>
          </w:tcPr>
          <w:p>
            <w:pPr>
              <w:jc w:val="left"/>
            </w:pPr>
            <w:r>
              <w:rPr>
                <w:b w:val="false"/>
                <w:bCs w:val="false"/>
                <w:sz w:val="19"/>
                <w:szCs w:val="19"/>
              </w:rPr>
              <w:t xml:space="preserve">No public study measures a full-deadline-window renewal rate for a “no contact” baseline specifically. Set within the range implied by real reminder-effect research (see Appendix D) as the lower of the two rates being compared.</w:t>
            </w:r>
          </w:p>
        </w:tc>
        <w:tc>
          <w:tcPr>
            <w:tcW w:type="dxa" w:w="2080"/>
            <w:shd w:fill="F7F9FB" w:color="auto" w:val="clear"/>
            <w:tcMar>
              <w:top w:type="dxa" w:w="60"/>
              <w:left w:type="dxa" w:w="100"/>
              <w:bottom w:type="dxa" w:w="60"/>
              <w:right w:type="dxa" w:w="100"/>
            </w:tcMar>
            <w:vAlign w:val="center"/>
          </w:tcPr>
          <w:p>
            <w:pPr>
              <w:jc w:val="left"/>
            </w:pPr>
            <w:r>
              <w:rPr>
                <w:b w:val="false"/>
                <w:bCs w:val="false"/>
                <w:sz w:val="19"/>
                <w:szCs w:val="19"/>
              </w:rPr>
              <w:t xml:space="preserve">The answer is sensitive to this value.</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MA5</w:t>
            </w:r>
          </w:p>
        </w:tc>
        <w:tc>
          <w:tcPr>
            <w:tcW w:type="dxa" w:w="2200"/>
            <w:tcMar>
              <w:top w:type="dxa" w:w="60"/>
              <w:left w:type="dxa" w:w="100"/>
              <w:bottom w:type="dxa" w:w="60"/>
              <w:right w:type="dxa" w:w="100"/>
            </w:tcMar>
            <w:vAlign w:val="center"/>
          </w:tcPr>
          <w:p>
            <w:pPr>
              <w:jc w:val="left"/>
            </w:pPr>
            <w:r>
              <w:rPr>
                <w:b w:val="false"/>
                <w:bCs w:val="false"/>
                <w:sz w:val="19"/>
                <w:szCs w:val="19"/>
              </w:rPr>
              <w:t xml:space="preserve">On-time renewal rate for a student who does receive a mailed reminder</w:t>
            </w:r>
          </w:p>
        </w:tc>
        <w:tc>
          <w:tcPr>
            <w:tcW w:type="dxa" w:w="1600"/>
            <w:tcMar>
              <w:top w:type="dxa" w:w="60"/>
              <w:left w:type="dxa" w:w="100"/>
              <w:bottom w:type="dxa" w:w="60"/>
              <w:right w:type="dxa" w:w="100"/>
            </w:tcMar>
            <w:vAlign w:val="center"/>
          </w:tcPr>
          <w:p>
            <w:pPr>
              <w:jc w:val="left"/>
            </w:pPr>
            <w:r>
              <w:rPr>
                <w:b w:val="false"/>
                <w:bCs w:val="false"/>
                <w:sz w:val="19"/>
                <w:szCs w:val="19"/>
              </w:rPr>
              <w:t xml:space="preserve">70%</w:t>
            </w:r>
          </w:p>
        </w:tc>
        <w:tc>
          <w:tcPr>
            <w:tcW w:type="dxa" w:w="3700"/>
            <w:tcMar>
              <w:top w:type="dxa" w:w="60"/>
              <w:left w:type="dxa" w:w="100"/>
              <w:bottom w:type="dxa" w:w="60"/>
              <w:right w:type="dxa" w:w="100"/>
            </w:tcMar>
            <w:vAlign w:val="center"/>
          </w:tcPr>
          <w:p>
            <w:pPr>
              <w:jc w:val="left"/>
            </w:pPr>
            <w:r>
              <w:rPr>
                <w:b w:val="false"/>
                <w:bCs w:val="false"/>
                <w:sz w:val="19"/>
                <w:szCs w:val="19"/>
              </w:rPr>
              <w:t xml:space="preserve">Set as a 15-percentage-point lift over MA4, informed by the direction and scale of a real, rigorously tested reminder intervention (see Appendix D) — but not a direct transfer of that study's own percentages, since that study measured email reminders over a 20-day window, not a mailed packet over a full renewal cycle.</w:t>
            </w:r>
          </w:p>
        </w:tc>
        <w:tc>
          <w:tcPr>
            <w:tcW w:type="dxa" w:w="2080"/>
            <w:tcMar>
              <w:top w:type="dxa" w:w="60"/>
              <w:left w:type="dxa" w:w="100"/>
              <w:bottom w:type="dxa" w:w="60"/>
              <w:right w:type="dxa" w:w="100"/>
            </w:tcMar>
            <w:vAlign w:val="center"/>
          </w:tcPr>
          <w:p>
            <w:pPr>
              <w:jc w:val="left"/>
            </w:pPr>
            <w:r>
              <w:rPr>
                <w:b w:val="false"/>
                <w:bCs w:val="false"/>
                <w:sz w:val="19"/>
                <w:szCs w:val="19"/>
              </w:rPr>
              <w:t xml:space="preserve">The answer is sensitive to this value.</w:t>
            </w:r>
          </w:p>
        </w:tc>
      </w:tr>
      <w:tr>
        <w:tc>
          <w:tcPr>
            <w:tcW w:type="dxa" w:w="500"/>
            <w:shd w:fill="F7F9FB" w:color="auto" w:val="clear"/>
            <w:tcMar>
              <w:top w:type="dxa" w:w="60"/>
              <w:left w:type="dxa" w:w="100"/>
              <w:bottom w:type="dxa" w:w="60"/>
              <w:right w:type="dxa" w:w="100"/>
            </w:tcMar>
            <w:vAlign w:val="center"/>
          </w:tcPr>
          <w:p>
            <w:pPr>
              <w:jc w:val="left"/>
            </w:pPr>
            <w:r>
              <w:rPr>
                <w:b w:val="false"/>
                <w:bCs w:val="false"/>
                <w:sz w:val="19"/>
                <w:szCs w:val="19"/>
              </w:rPr>
              <w:t xml:space="preserve">MA6</w:t>
            </w:r>
          </w:p>
        </w:tc>
        <w:tc>
          <w:tcPr>
            <w:tcW w:type="dxa" w:w="2200"/>
            <w:shd w:fill="F7F9FB" w:color="auto" w:val="clear"/>
            <w:tcMar>
              <w:top w:type="dxa" w:w="60"/>
              <w:left w:type="dxa" w:w="100"/>
              <w:bottom w:type="dxa" w:w="60"/>
              <w:right w:type="dxa" w:w="100"/>
            </w:tcMar>
            <w:vAlign w:val="center"/>
          </w:tcPr>
          <w:p>
            <w:pPr>
              <w:jc w:val="left"/>
            </w:pPr>
            <w:r>
              <w:rPr>
                <w:b w:val="false"/>
                <w:bCs w:val="false"/>
                <w:sz w:val="19"/>
                <w:szCs w:val="19"/>
              </w:rPr>
              <w:t xml:space="preserve">Discretionary outreach mailing budget, whole year</w:t>
            </w:r>
          </w:p>
        </w:tc>
        <w:tc>
          <w:tcPr>
            <w:tcW w:type="dxa" w:w="1600"/>
            <w:shd w:fill="F7F9FB" w:color="auto" w:val="clear"/>
            <w:tcMar>
              <w:top w:type="dxa" w:w="60"/>
              <w:left w:type="dxa" w:w="100"/>
              <w:bottom w:type="dxa" w:w="60"/>
              <w:right w:type="dxa" w:w="100"/>
            </w:tcMar>
            <w:vAlign w:val="center"/>
          </w:tcPr>
          <w:p>
            <w:pPr>
              <w:jc w:val="left"/>
            </w:pPr>
            <w:r>
              <w:rPr>
                <w:b w:val="false"/>
                <w:bCs w:val="false"/>
                <w:sz w:val="19"/>
                <w:szCs w:val="19"/>
              </w:rPr>
              <w:t xml:space="preserve">$1,600</w:t>
            </w:r>
          </w:p>
        </w:tc>
        <w:tc>
          <w:tcPr>
            <w:tcW w:type="dxa" w:w="3700"/>
            <w:shd w:fill="F7F9FB" w:color="auto" w:val="clear"/>
            <w:tcMar>
              <w:top w:type="dxa" w:w="60"/>
              <w:left w:type="dxa" w:w="100"/>
              <w:bottom w:type="dxa" w:w="60"/>
              <w:right w:type="dxa" w:w="100"/>
            </w:tcMar>
            <w:vAlign w:val="center"/>
          </w:tcPr>
          <w:p>
            <w:pPr>
              <w:jc w:val="left"/>
            </w:pPr>
            <w:r>
              <w:rPr>
                <w:b w:val="false"/>
                <w:bCs w:val="false"/>
                <w:sz w:val="19"/>
                <w:szCs w:val="19"/>
              </w:rPr>
              <w:t xml:space="preserve">Stated scenario constraint, sized so Order A is affordable but consumes nearly all of it — a realistic shape for a small office's discretionary line.</w:t>
            </w:r>
          </w:p>
        </w:tc>
        <w:tc>
          <w:tcPr>
            <w:tcW w:type="dxa" w:w="2080"/>
            <w:shd w:fill="F7F9FB" w:color="auto" w:val="clear"/>
            <w:tcMar>
              <w:top w:type="dxa" w:w="60"/>
              <w:left w:type="dxa" w:w="100"/>
              <w:bottom w:type="dxa" w:w="60"/>
              <w:right w:type="dxa" w:w="100"/>
            </w:tcMar>
            <w:vAlign w:val="center"/>
          </w:tcPr>
          <w:p>
            <w:pPr>
              <w:jc w:val="left"/>
            </w:pPr>
            <w:r>
              <w:rPr>
                <w:b w:val="false"/>
                <w:bCs w:val="false"/>
                <w:sz w:val="19"/>
                <w:szCs w:val="19"/>
              </w:rPr>
              <w:t xml:space="preserve">The answer is sensitive to this value.</w:t>
            </w:r>
          </w:p>
        </w:tc>
      </w:tr>
    </w:tbl>
    <w:p>
      <w:pPr>
        <w:spacing w:after="200"/>
      </w:pPr>
    </w:p>
    <w:p>
      <w:pPr>
        <w:pStyle w:val="Heading1"/>
        <w:spacing w:after="160" w:before="320"/>
      </w:pPr>
      <w:r>
        <w:t xml:space="preserve">Appendix B — Venn Diagram Groundwork</w:t>
      </w:r>
    </w:p>
    <w:p>
      <w:pPr>
        <w:spacing w:after="160"/>
      </w:pPr>
      <w:r>
        <w:t xml:space="preserve">Applying Appendix A and the Modeling Assumptions above: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000"/>
      </w:tblGrid>
      <w:tr>
        <w:trPr>
          <w:tblHeader/>
        </w:trPr>
        <w:tc>
          <w:tcPr>
            <w:tcW w:type="dxa" w:w="3600"/>
            <w:shd w:fill="1a3a5c" w:color="auto" w:val="clear"/>
            <w:tcMar>
              <w:top w:type="dxa" w:w="60"/>
              <w:left w:type="dxa" w:w="100"/>
              <w:bottom w:type="dxa" w:w="60"/>
              <w:right w:type="dxa" w:w="100"/>
            </w:tcMar>
            <w:vAlign w:val="center"/>
          </w:tcPr>
          <w:p>
            <w:pPr>
              <w:jc w:val="left"/>
            </w:pPr>
            <w:r>
              <w:rPr>
                <w:b/>
                <w:bCs/>
                <w:sz w:val="19"/>
                <w:szCs w:val="19"/>
              </w:rPr>
              <w:t xml:space="preserve">Region</w:t>
            </w:r>
          </w:p>
        </w:tc>
        <w:tc>
          <w:tcPr>
            <w:tcW w:type="dxa" w:w="3400"/>
            <w:shd w:fill="1a3a5c" w:color="auto" w:val="clear"/>
            <w:tcMar>
              <w:top w:type="dxa" w:w="60"/>
              <w:left w:type="dxa" w:w="100"/>
              <w:bottom w:type="dxa" w:w="60"/>
              <w:right w:type="dxa" w:w="100"/>
            </w:tcMar>
            <w:vAlign w:val="center"/>
          </w:tcPr>
          <w:p>
            <w:pPr>
              <w:jc w:val="left"/>
            </w:pPr>
            <w:r>
              <w:rPr>
                <w:b/>
                <w:bCs/>
                <w:sz w:val="19"/>
                <w:szCs w:val="19"/>
              </w:rPr>
              <w:t xml:space="preserve">Set expression</w:t>
            </w:r>
          </w:p>
        </w:tc>
        <w:tc>
          <w:tcPr>
            <w:tcW w:type="dxa" w:w="2000"/>
            <w:shd w:fill="1a3a5c" w:color="auto" w:val="clear"/>
            <w:tcMar>
              <w:top w:type="dxa" w:w="60"/>
              <w:left w:type="dxa" w:w="100"/>
              <w:bottom w:type="dxa" w:w="60"/>
              <w:right w:type="dxa" w:w="100"/>
            </w:tcMar>
            <w:vAlign w:val="center"/>
          </w:tcPr>
          <w:p>
            <w:pPr>
              <w:jc w:val="left"/>
            </w:pPr>
            <w:r>
              <w:rPr>
                <w:b/>
                <w:bCs/>
                <w:sz w:val="19"/>
                <w:szCs w:val="19"/>
              </w:rPr>
              <w:t xml:space="preserve">Count</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Pell-eligible only</w:t>
            </w:r>
          </w:p>
        </w:tc>
        <w:tc>
          <w:tcPr>
            <w:tcW w:type="dxa" w:w="3400"/>
            <w:tcMar>
              <w:top w:type="dxa" w:w="60"/>
              <w:left w:type="dxa" w:w="100"/>
              <w:bottom w:type="dxa" w:w="60"/>
              <w:right w:type="dxa" w:w="100"/>
            </w:tcMar>
            <w:vAlign w:val="center"/>
          </w:tcPr>
          <w:p>
            <w:pPr>
              <w:jc w:val="left"/>
            </w:pPr>
            <w:r>
              <w:rPr>
                <w:b w:val="false"/>
                <w:bCs w:val="false"/>
                <w:sz w:val="19"/>
                <w:szCs w:val="19"/>
              </w:rPr>
              <w:t xml:space="preserve">Pell − State</w:t>
            </w:r>
          </w:p>
        </w:tc>
        <w:tc>
          <w:tcPr>
            <w:tcW w:type="dxa" w:w="2000"/>
            <w:tcMar>
              <w:top w:type="dxa" w:w="60"/>
              <w:left w:type="dxa" w:w="100"/>
              <w:bottom w:type="dxa" w:w="60"/>
              <w:right w:type="dxa" w:w="100"/>
            </w:tcMar>
            <w:vAlign w:val="center"/>
          </w:tcPr>
          <w:p>
            <w:pPr>
              <w:jc w:val="left"/>
            </w:pPr>
            <w:r>
              <w:rPr>
                <w:b w:val="false"/>
                <w:bCs w:val="false"/>
                <w:sz w:val="19"/>
                <w:szCs w:val="19"/>
              </w:rPr>
              <w:t xml:space="preserve">1,580</w:t>
            </w:r>
          </w:p>
        </w:tc>
      </w:tr>
      <w:tr>
        <w:tc>
          <w:tcPr>
            <w:tcW w:type="dxa" w:w="3600"/>
            <w:shd w:fill="F7F9FB" w:color="auto" w:val="clear"/>
            <w:tcMar>
              <w:top w:type="dxa" w:w="60"/>
              <w:left w:type="dxa" w:w="100"/>
              <w:bottom w:type="dxa" w:w="60"/>
              <w:right w:type="dxa" w:w="100"/>
            </w:tcMar>
            <w:vAlign w:val="center"/>
          </w:tcPr>
          <w:p>
            <w:pPr>
              <w:jc w:val="left"/>
            </w:pPr>
            <w:r>
              <w:rPr>
                <w:b w:val="false"/>
                <w:bCs w:val="false"/>
                <w:sz w:val="19"/>
                <w:szCs w:val="19"/>
              </w:rPr>
              <w:t xml:space="preserve">State-eligible only</w:t>
            </w:r>
          </w:p>
        </w:tc>
        <w:tc>
          <w:tcPr>
            <w:tcW w:type="dxa" w:w="3400"/>
            <w:shd w:fill="F7F9FB" w:color="auto" w:val="clear"/>
            <w:tcMar>
              <w:top w:type="dxa" w:w="60"/>
              <w:left w:type="dxa" w:w="100"/>
              <w:bottom w:type="dxa" w:w="60"/>
              <w:right w:type="dxa" w:w="100"/>
            </w:tcMar>
            <w:vAlign w:val="center"/>
          </w:tcPr>
          <w:p>
            <w:pPr>
              <w:jc w:val="left"/>
            </w:pPr>
            <w:r>
              <w:rPr>
                <w:b w:val="false"/>
                <w:bCs w:val="false"/>
                <w:sz w:val="19"/>
                <w:szCs w:val="19"/>
              </w:rPr>
              <w:t xml:space="preserve">State − Pell</w:t>
            </w:r>
          </w:p>
        </w:tc>
        <w:tc>
          <w:tcPr>
            <w:tcW w:type="dxa" w:w="2000"/>
            <w:shd w:fill="F7F9FB" w:color="auto" w:val="clear"/>
            <w:tcMar>
              <w:top w:type="dxa" w:w="60"/>
              <w:left w:type="dxa" w:w="100"/>
              <w:bottom w:type="dxa" w:w="60"/>
              <w:right w:type="dxa" w:w="100"/>
            </w:tcMar>
            <w:vAlign w:val="center"/>
          </w:tcPr>
          <w:p>
            <w:pPr>
              <w:jc w:val="left"/>
            </w:pPr>
            <w:r>
              <w:rPr>
                <w:b w:val="false"/>
                <w:bCs w:val="false"/>
                <w:sz w:val="19"/>
                <w:szCs w:val="19"/>
              </w:rPr>
              <w:t xml:space="preserve">334</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Both (the intersection)</w:t>
            </w:r>
          </w:p>
        </w:tc>
        <w:tc>
          <w:tcPr>
            <w:tcW w:type="dxa" w:w="3400"/>
            <w:tcMar>
              <w:top w:type="dxa" w:w="60"/>
              <w:left w:type="dxa" w:w="100"/>
              <w:bottom w:type="dxa" w:w="60"/>
              <w:right w:type="dxa" w:w="100"/>
            </w:tcMar>
            <w:vAlign w:val="center"/>
          </w:tcPr>
          <w:p>
            <w:pPr>
              <w:jc w:val="left"/>
            </w:pPr>
            <w:r>
              <w:rPr>
                <w:b w:val="false"/>
                <w:bCs w:val="false"/>
                <w:sz w:val="19"/>
                <w:szCs w:val="19"/>
              </w:rPr>
              <w:t xml:space="preserve">Pell ∩ State</w:t>
            </w:r>
          </w:p>
        </w:tc>
        <w:tc>
          <w:tcPr>
            <w:tcW w:type="dxa" w:w="2000"/>
            <w:tcMar>
              <w:top w:type="dxa" w:w="60"/>
              <w:left w:type="dxa" w:w="100"/>
              <w:bottom w:type="dxa" w:w="60"/>
              <w:right w:type="dxa" w:w="100"/>
            </w:tcMar>
            <w:vAlign w:val="center"/>
          </w:tcPr>
          <w:p>
            <w:pPr>
              <w:jc w:val="left"/>
            </w:pPr>
            <w:r>
              <w:rPr>
                <w:b w:val="false"/>
                <w:bCs w:val="false"/>
                <w:sz w:val="19"/>
                <w:szCs w:val="19"/>
              </w:rPr>
              <w:t xml:space="preserve">1,336</w:t>
            </w:r>
          </w:p>
        </w:tc>
      </w:tr>
      <w:tr>
        <w:tc>
          <w:tcPr>
            <w:tcW w:type="dxa" w:w="3600"/>
            <w:shd w:fill="F7F9FB" w:color="auto" w:val="clear"/>
            <w:tcMar>
              <w:top w:type="dxa" w:w="60"/>
              <w:left w:type="dxa" w:w="100"/>
              <w:bottom w:type="dxa" w:w="60"/>
              <w:right w:type="dxa" w:w="100"/>
            </w:tcMar>
            <w:vAlign w:val="center"/>
          </w:tcPr>
          <w:p>
            <w:pPr>
              <w:jc w:val="left"/>
            </w:pPr>
            <w:r>
              <w:rPr>
                <w:b w:val="false"/>
                <w:bCs w:val="false"/>
                <w:sz w:val="19"/>
                <w:szCs w:val="19"/>
              </w:rPr>
              <w:t xml:space="preserve">Union (either or both)</w:t>
            </w:r>
          </w:p>
        </w:tc>
        <w:tc>
          <w:tcPr>
            <w:tcW w:type="dxa" w:w="3400"/>
            <w:shd w:fill="F7F9FB" w:color="auto" w:val="clear"/>
            <w:tcMar>
              <w:top w:type="dxa" w:w="60"/>
              <w:left w:type="dxa" w:w="100"/>
              <w:bottom w:type="dxa" w:w="60"/>
              <w:right w:type="dxa" w:w="100"/>
            </w:tcMar>
            <w:vAlign w:val="center"/>
          </w:tcPr>
          <w:p>
            <w:pPr>
              <w:jc w:val="left"/>
            </w:pPr>
            <w:r>
              <w:rPr>
                <w:b w:val="false"/>
                <w:bCs w:val="false"/>
                <w:sz w:val="19"/>
                <w:szCs w:val="19"/>
              </w:rPr>
              <w:t xml:space="preserve">Pell ∪ State</w:t>
            </w:r>
          </w:p>
        </w:tc>
        <w:tc>
          <w:tcPr>
            <w:tcW w:type="dxa" w:w="2000"/>
            <w:shd w:fill="F7F9FB" w:color="auto" w:val="clear"/>
            <w:tcMar>
              <w:top w:type="dxa" w:w="60"/>
              <w:left w:type="dxa" w:w="100"/>
              <w:bottom w:type="dxa" w:w="60"/>
              <w:right w:type="dxa" w:w="100"/>
            </w:tcMar>
            <w:vAlign w:val="center"/>
          </w:tcPr>
          <w:p>
            <w:pPr>
              <w:jc w:val="left"/>
            </w:pPr>
            <w:r>
              <w:rPr>
                <w:b w:val="false"/>
                <w:bCs w:val="false"/>
                <w:sz w:val="19"/>
                <w:szCs w:val="19"/>
              </w:rPr>
              <w:t xml:space="preserve">3,250</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Neither</w:t>
            </w:r>
          </w:p>
        </w:tc>
        <w:tc>
          <w:tcPr>
            <w:tcW w:type="dxa" w:w="3400"/>
            <w:tcMar>
              <w:top w:type="dxa" w:w="60"/>
              <w:left w:type="dxa" w:w="100"/>
              <w:bottom w:type="dxa" w:w="60"/>
              <w:right w:type="dxa" w:w="100"/>
            </w:tcMar>
            <w:vAlign w:val="center"/>
          </w:tcPr>
          <w:p>
            <w:pPr>
              <w:jc w:val="left"/>
            </w:pPr>
            <w:r>
              <w:rPr>
                <w:b w:val="false"/>
                <w:bCs w:val="false"/>
                <w:sz w:val="19"/>
                <w:szCs w:val="19"/>
              </w:rPr>
              <w:t xml:space="preserve">outside Pell ∪ State</w:t>
            </w:r>
          </w:p>
        </w:tc>
        <w:tc>
          <w:tcPr>
            <w:tcW w:type="dxa" w:w="2000"/>
            <w:tcMar>
              <w:top w:type="dxa" w:w="60"/>
              <w:left w:type="dxa" w:w="100"/>
              <w:bottom w:type="dxa" w:w="60"/>
              <w:right w:type="dxa" w:w="100"/>
            </w:tcMar>
            <w:vAlign w:val="center"/>
          </w:tcPr>
          <w:p>
            <w:pPr>
              <w:jc w:val="left"/>
            </w:pPr>
            <w:r>
              <w:rPr>
                <w:b w:val="false"/>
                <w:bCs w:val="false"/>
                <w:sz w:val="19"/>
                <w:szCs w:val="19"/>
              </w:rPr>
              <w:t xml:space="preserve">5,750</w:t>
            </w:r>
          </w:p>
        </w:tc>
      </w:tr>
    </w:tbl>
    <w:p>
      <w:pPr>
        <w:spacing w:after="160"/>
      </w:pPr>
    </w:p>
    <w:p>
      <w:pPr>
        <w:spacing w:after="160"/>
      </w:pPr>
      <w:r>
        <w:t xml:space="preserve">Check: |Pell| = 1,580 + 1,336 = 2,916 (matches 32.4% of 9,000 [S1]). |State| = 334 + 1,336 = 1,670 (matches MA2). |Pell ∪ State| = |Pell| + |State| − |Pell ∩ State| = 2,916 + 1,670 − 1,336 = 3,250.</w:t>
      </w:r>
    </w:p>
    <w:p>
      <w:pPr>
        <w:spacing w:after="160"/>
      </w:pPr>
      <w:r>
        <w:t xml:space="preserve">The 5,750 students in "Neither" hold no Pell Grant and no Cal Grant this year, so they have no aid to renew — they are outside both orders’ mailing lists and outside every renewal-count and cost calculation in Deliverables D4–D6, which apply only to the 3,250-student union. Screened out, not ignored: they are the reason Deja’s office screens 9,000 students to reach the 3,250 who actually need this mailing.</w:t>
      </w:r>
    </w:p>
    <w:p>
      <w:pPr>
        <w:spacing w:after="200"/>
      </w:pPr>
      <w:r>
        <w:t xml:space="preserve">A blank, unlabeled two-circle Venn diagram template for D1 is available at: </w:t>
      </w:r>
      <w:hyperlink w:history="1" r:id="rIdoacb_owuvsxrg8vsn7kor">
        <w:r>
          <w:rPr>
            <w:rStyle w:val="Hyperlink"/>
          </w:rPr>
          <w:t xml:space="preserve">canva.com/graphs/venn-diagrams</w:t>
        </w:r>
      </w:hyperlink>
      <w:r>
        <w:t xml:space="preserve"> (if this link is unavailable, any hand-drawn two-circle diagram with the four regions above satisfies the deliverable — the data above is what's load-bearing, not the specific tool).</w:t>
      </w:r>
    </w:p>
    <w:p>
      <w:pPr>
        <w:pStyle w:val="Heading1"/>
        <w:spacing w:after="160" w:before="320"/>
      </w:pPr>
      <w:r>
        <w:t xml:space="preserve">Appendix C — Cascade State's Commercial Mail Rate</w:t>
      </w:r>
    </w:p>
    <w:p>
      <w:pPr>
        <w:spacing w:after="160"/>
      </w:pPr>
      <w:r>
        <w:t xml:space="preserve">Cascade State's mail house bills at USPS commercial Marketing Mail letter rates. USPS publishes three automation presort tiers, which reward a mailer for pre-sorting by ZIP code — the deeper the sort, the cheaper the piece (see Table C-1). Cascade State's outreach list is not pre-sorted by carrier route, so its mail house bills at the Mixed AADC tier.</w:t>
      </w:r>
    </w:p>
    <w:p>
      <w:pPr>
        <w:spacing w:after="100" w:before="100"/>
      </w:pPr>
      <w:r>
        <w:rPr>
          <w:b/>
          <w:bCs/>
        </w:rPr>
        <w:t xml:space="preserve">Table C-1 — USPS Commercial Marketing Mail Letters, Automation Presort, per piece (3.5 oz. or less), effective July 12, 2026 [S7]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a3a5c" w:color="auto" w:val="clear"/>
            <w:tcMar>
              <w:top w:type="dxa" w:w="60"/>
              <w:left w:type="dxa" w:w="100"/>
              <w:bottom w:type="dxa" w:w="60"/>
              <w:right w:type="dxa" w:w="100"/>
            </w:tcMar>
            <w:vAlign w:val="center"/>
          </w:tcPr>
          <w:p>
            <w:pPr>
              <w:jc w:val="left"/>
            </w:pPr>
            <w:r>
              <w:rPr>
                <w:b/>
                <w:bCs/>
                <w:sz w:val="19"/>
                <w:szCs w:val="19"/>
              </w:rPr>
              <w:t xml:space="preserve">Presort tier</w:t>
            </w:r>
          </w:p>
        </w:tc>
        <w:tc>
          <w:tcPr>
            <w:tcW w:type="dxa" w:w="4000"/>
            <w:shd w:fill="1a3a5c" w:color="auto" w:val="clear"/>
            <w:tcMar>
              <w:top w:type="dxa" w:w="60"/>
              <w:left w:type="dxa" w:w="100"/>
              <w:bottom w:type="dxa" w:w="60"/>
              <w:right w:type="dxa" w:w="100"/>
            </w:tcMar>
            <w:vAlign w:val="center"/>
          </w:tcPr>
          <w:p>
            <w:pPr>
              <w:jc w:val="left"/>
            </w:pPr>
            <w:r>
              <w:rPr>
                <w:b/>
                <w:bCs/>
                <w:sz w:val="19"/>
                <w:szCs w:val="19"/>
              </w:rPr>
              <w:t xml:space="preserve">Price per piece</w:t>
            </w:r>
          </w:p>
        </w:tc>
      </w:tr>
      <w:tr>
        <w:tc>
          <w:tcPr>
            <w:tcW w:type="dxa" w:w="5000"/>
            <w:tcMar>
              <w:top w:type="dxa" w:w="60"/>
              <w:left w:type="dxa" w:w="100"/>
              <w:bottom w:type="dxa" w:w="60"/>
              <w:right w:type="dxa" w:w="100"/>
            </w:tcMar>
            <w:vAlign w:val="center"/>
          </w:tcPr>
          <w:p>
            <w:pPr>
              <w:jc w:val="left"/>
            </w:pPr>
            <w:r>
              <w:rPr>
                <w:b w:val="false"/>
                <w:bCs w:val="false"/>
                <w:sz w:val="19"/>
                <w:szCs w:val="19"/>
              </w:rPr>
              <w:t xml:space="preserve">5-Digit (most sorted)</w:t>
            </w:r>
          </w:p>
        </w:tc>
        <w:tc>
          <w:tcPr>
            <w:tcW w:type="dxa" w:w="4000"/>
            <w:tcMar>
              <w:top w:type="dxa" w:w="60"/>
              <w:left w:type="dxa" w:w="100"/>
              <w:bottom w:type="dxa" w:w="60"/>
              <w:right w:type="dxa" w:w="100"/>
            </w:tcMar>
            <w:vAlign w:val="center"/>
          </w:tcPr>
          <w:p>
            <w:pPr>
              <w:jc w:val="left"/>
            </w:pPr>
            <w:r>
              <w:rPr>
                <w:b w:val="false"/>
                <w:bCs w:val="false"/>
                <w:sz w:val="19"/>
                <w:szCs w:val="19"/>
              </w:rPr>
              <w:t xml:space="preserve">$0.395</w:t>
            </w:r>
          </w:p>
        </w:tc>
      </w:tr>
      <w:tr>
        <w:tc>
          <w:tcPr>
            <w:tcW w:type="dxa" w:w="5000"/>
            <w:shd w:fill="F7F9FB" w:color="auto" w:val="clear"/>
            <w:tcMar>
              <w:top w:type="dxa" w:w="60"/>
              <w:left w:type="dxa" w:w="100"/>
              <w:bottom w:type="dxa" w:w="60"/>
              <w:right w:type="dxa" w:w="100"/>
            </w:tcMar>
            <w:vAlign w:val="center"/>
          </w:tcPr>
          <w:p>
            <w:pPr>
              <w:jc w:val="left"/>
            </w:pPr>
            <w:r>
              <w:rPr>
                <w:b w:val="false"/>
                <w:bCs w:val="false"/>
                <w:sz w:val="19"/>
                <w:szCs w:val="19"/>
              </w:rPr>
              <w:t xml:space="preserve">3-Digit / SCF</w:t>
            </w:r>
          </w:p>
        </w:tc>
        <w:tc>
          <w:tcPr>
            <w:tcW w:type="dxa" w:w="4000"/>
            <w:shd w:fill="F7F9FB" w:color="auto" w:val="clear"/>
            <w:tcMar>
              <w:top w:type="dxa" w:w="60"/>
              <w:left w:type="dxa" w:w="100"/>
              <w:bottom w:type="dxa" w:w="60"/>
              <w:right w:type="dxa" w:w="100"/>
            </w:tcMar>
            <w:vAlign w:val="center"/>
          </w:tcPr>
          <w:p>
            <w:pPr>
              <w:jc w:val="left"/>
            </w:pPr>
            <w:r>
              <w:rPr>
                <w:b w:val="false"/>
                <w:bCs w:val="false"/>
                <w:sz w:val="19"/>
                <w:szCs w:val="19"/>
              </w:rPr>
              <w:t xml:space="preserve">$0.435</w:t>
            </w:r>
          </w:p>
        </w:tc>
      </w:tr>
      <w:tr>
        <w:tc>
          <w:tcPr>
            <w:tcW w:type="dxa" w:w="5000"/>
            <w:tcMar>
              <w:top w:type="dxa" w:w="60"/>
              <w:left w:type="dxa" w:w="100"/>
              <w:bottom w:type="dxa" w:w="60"/>
              <w:right w:type="dxa" w:w="100"/>
            </w:tcMar>
            <w:vAlign w:val="center"/>
          </w:tcPr>
          <w:p>
            <w:pPr>
              <w:jc w:val="left"/>
            </w:pPr>
            <w:r>
              <w:rPr>
                <w:b w:val="false"/>
                <w:bCs w:val="false"/>
                <w:sz w:val="19"/>
                <w:szCs w:val="19"/>
              </w:rPr>
              <w:t xml:space="preserve">Mixed AADC (least sorted)</w:t>
            </w:r>
          </w:p>
        </w:tc>
        <w:tc>
          <w:tcPr>
            <w:tcW w:type="dxa" w:w="4000"/>
            <w:tcMar>
              <w:top w:type="dxa" w:w="60"/>
              <w:left w:type="dxa" w:w="100"/>
              <w:bottom w:type="dxa" w:w="60"/>
              <w:right w:type="dxa" w:w="100"/>
            </w:tcMar>
            <w:vAlign w:val="center"/>
          </w:tcPr>
          <w:p>
            <w:pPr>
              <w:jc w:val="left"/>
            </w:pPr>
            <w:r>
              <w:rPr>
                <w:b w:val="false"/>
                <w:bCs w:val="false"/>
                <w:sz w:val="19"/>
                <w:szCs w:val="19"/>
              </w:rPr>
              <w:t xml:space="preserve">$0.467</w:t>
            </w:r>
          </w:p>
        </w:tc>
      </w:tr>
    </w:tbl>
    <w:p>
      <w:pPr>
        <w:spacing w:after="160"/>
      </w:pPr>
    </w:p>
    <w:p>
      <w:pPr>
        <w:spacing w:after="160"/>
      </w:pPr>
      <w:r>
        <w:t xml:space="preserve">Order A mails to the full union (3,250 students): 3,250 × $0.467 = $1,517.75, all from Cascade State's own budget (Appendix A, MA6).</w:t>
      </w:r>
    </w:p>
    <w:p>
      <w:pPr>
        <w:spacing w:after="160"/>
      </w:pPr>
      <w:r>
        <w:t xml:space="preserve">Order B mails to the intersection only (1,336 students), but this mailing is billed against CSAC's administrative allowance, not Cascade State's budget — $0.00 to the university.</w:t>
      </w:r>
    </w:p>
    <w:p>
      <w:pPr>
        <w:pStyle w:val="Heading1"/>
        <w:spacing w:after="160" w:before="320"/>
      </w:pPr>
      <w:r>
        <w:t xml:space="preserve">Appendix D — What a Reminder Is Worth</w:t>
      </w:r>
    </w:p>
    <w:p>
      <w:pPr>
        <w:spacing w:after="160"/>
      </w:pPr>
      <w:r>
        <w:t xml:space="preserve">No public study measures the effect of a physical mailed reminder on financial-aid renewal specifically. The closest available real evidence is a 2017 randomized controlled trial run by the U.S. General Services Administration's Office of Evaluation Sciences, in partnership with Federal Student Aid, on emailed FAFSA reminders to continuing students: reminder emails raised the share of targeted students who submitted a FAFSA-related action within 20 days from 4.34% to 7.77% — a 79% relative increase — and reminders that specifically mentioned the Pell Grant were the most effective version tested [S8].</w:t>
      </w:r>
    </w:p>
    <w:p>
      <w:pPr>
        <w:spacing w:after="160"/>
      </w:pPr>
      <w:r>
        <w:t xml:space="preserve">That study measured a short post-nudge window for a different channel (email, not mail) and a different action (initial submission, not full-cycle renewal), so its exact percentages cannot be dropped into this case as though they were Cascade State's own numbers. What it does establish, with real experimental evidence, is that a reminder — even a low-cost, low-effort one — produces a large, statistically real increase in on-time completion, and that Pell-specific messaging is not wasted effort. Modeling Assumptions MA4 and MA5 (Appendix A) use that direction and rough scale, not its literal figures.</w:t>
      </w:r>
    </w:p>
    <w:p>
      <w:pPr>
        <w:pStyle w:val="Heading1"/>
        <w:spacing w:after="160" w:before="320"/>
      </w:pPr>
      <w:r>
        <w:t xml:space="preserve">Appendix E — What a Renewal Is Worth</w:t>
      </w:r>
    </w:p>
    <w:p>
      <w:pPr>
        <w:spacing w:after="160"/>
      </w:pPr>
      <w:r>
        <w:t xml:space="preserve">For context, not for the required calculations: the average Pell Grant award nationwide was $5,300 in AY2023-24 [S2]. A first-year Cal Grant B recipient's Access Award is $1,648 in 2025-26, with the program separately covering tuition and fees starting in the second year [S6]. A student who is eligible for both programs and misses the renewal deadline is not out a few dollars of postage — they are out thousands of dollars of aid for the following term.</w:t>
      </w:r>
    </w:p>
    <w:p>
      <w:pPr>
        <w:pStyle w:val="Heading1"/>
        <w:spacing w:after="160" w:before="320"/>
      </w:pPr>
      <w:r>
        <w:t xml:space="preserve">Appendix F — Sources</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3600"/>
        <w:gridCol w:w="1700"/>
        <w:gridCol w:w="1100"/>
      </w:tblGrid>
      <w:tr>
        <w:trPr>
          <w:tblHeader/>
        </w:trPr>
        <w:tc>
          <w:tcPr>
            <w:tcW w:type="dxa" w:w="500"/>
            <w:shd w:fill="1a3a5c" w:color="auto" w:val="clear"/>
            <w:tcMar>
              <w:top w:type="dxa" w:w="60"/>
              <w:left w:type="dxa" w:w="100"/>
              <w:bottom w:type="dxa" w:w="60"/>
              <w:right w:type="dxa" w:w="100"/>
            </w:tcMar>
            <w:vAlign w:val="center"/>
          </w:tcPr>
          <w:p>
            <w:pPr>
              <w:jc w:val="left"/>
            </w:pPr>
            <w:r>
              <w:rPr>
                <w:b/>
                <w:bCs/>
                <w:sz w:val="19"/>
                <w:szCs w:val="19"/>
              </w:rPr>
              <w:t xml:space="preserve">#</w:t>
            </w:r>
          </w:p>
        </w:tc>
        <w:tc>
          <w:tcPr>
            <w:tcW w:type="dxa" w:w="2600"/>
            <w:shd w:fill="1a3a5c" w:color="auto" w:val="clear"/>
            <w:tcMar>
              <w:top w:type="dxa" w:w="60"/>
              <w:left w:type="dxa" w:w="100"/>
              <w:bottom w:type="dxa" w:w="60"/>
              <w:right w:type="dxa" w:w="100"/>
            </w:tcMar>
            <w:vAlign w:val="center"/>
          </w:tcPr>
          <w:p>
            <w:pPr>
              <w:jc w:val="left"/>
            </w:pPr>
            <w:r>
              <w:rPr>
                <w:b/>
                <w:bCs/>
                <w:sz w:val="19"/>
                <w:szCs w:val="19"/>
              </w:rPr>
              <w:t xml:space="preserve">Claim</w:t>
            </w:r>
          </w:p>
        </w:tc>
        <w:tc>
          <w:tcPr>
            <w:tcW w:type="dxa" w:w="1600"/>
            <w:shd w:fill="1a3a5c" w:color="auto" w:val="clear"/>
            <w:tcMar>
              <w:top w:type="dxa" w:w="60"/>
              <w:left w:type="dxa" w:w="100"/>
              <w:bottom w:type="dxa" w:w="60"/>
              <w:right w:type="dxa" w:w="100"/>
            </w:tcMar>
            <w:vAlign w:val="center"/>
          </w:tcPr>
          <w:p>
            <w:pPr>
              <w:jc w:val="left"/>
            </w:pPr>
            <w:r>
              <w:rPr>
                <w:b/>
                <w:bCs/>
                <w:sz w:val="19"/>
                <w:szCs w:val="19"/>
              </w:rPr>
              <w:t xml:space="preserve">Value</w:t>
            </w:r>
          </w:p>
        </w:tc>
        <w:tc>
          <w:tcPr>
            <w:tcW w:type="dxa" w:w="3600"/>
            <w:shd w:fill="1a3a5c" w:color="auto" w:val="clear"/>
            <w:tcMar>
              <w:top w:type="dxa" w:w="60"/>
              <w:left w:type="dxa" w:w="100"/>
              <w:bottom w:type="dxa" w:w="60"/>
              <w:right w:type="dxa" w:w="100"/>
            </w:tcMar>
            <w:vAlign w:val="center"/>
          </w:tcPr>
          <w:p>
            <w:pPr>
              <w:jc w:val="left"/>
            </w:pPr>
            <w:r>
              <w:rPr>
                <w:b/>
                <w:bCs/>
                <w:sz w:val="19"/>
                <w:szCs w:val="19"/>
              </w:rPr>
              <w:t xml:space="preserve">Source</w:t>
            </w:r>
          </w:p>
        </w:tc>
        <w:tc>
          <w:tcPr>
            <w:tcW w:type="dxa" w:w="1700"/>
            <w:shd w:fill="1a3a5c" w:color="auto" w:val="clear"/>
            <w:tcMar>
              <w:top w:type="dxa" w:w="60"/>
              <w:left w:type="dxa" w:w="100"/>
              <w:bottom w:type="dxa" w:w="60"/>
              <w:right w:type="dxa" w:w="100"/>
            </w:tcMar>
            <w:vAlign w:val="center"/>
          </w:tcPr>
          <w:p>
            <w:pPr>
              <w:jc w:val="left"/>
            </w:pPr>
            <w:r>
              <w:rPr>
                <w:b/>
                <w:bCs/>
                <w:sz w:val="19"/>
                <w:szCs w:val="19"/>
              </w:rPr>
              <w:t xml:space="preserve">Date</w:t>
            </w:r>
          </w:p>
        </w:tc>
        <w:tc>
          <w:tcPr>
            <w:tcW w:type="dxa" w:w="1100"/>
            <w:shd w:fill="1a3a5c" w:color="auto" w:val="clear"/>
            <w:tcMar>
              <w:top w:type="dxa" w:w="60"/>
              <w:left w:type="dxa" w:w="100"/>
              <w:bottom w:type="dxa" w:w="60"/>
              <w:right w:type="dxa" w:w="100"/>
            </w:tcMar>
            <w:vAlign w:val="center"/>
          </w:tcPr>
          <w:p>
            <w:pPr>
              <w:jc w:val="left"/>
            </w:pPr>
            <w:r>
              <w:rPr>
                <w:b/>
                <w:bCs/>
                <w:sz w:val="19"/>
                <w:szCs w:val="19"/>
              </w:rPr>
              <w:t xml:space="preserve">Confidence</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S1</w:t>
            </w:r>
          </w:p>
        </w:tc>
        <w:tc>
          <w:tcPr>
            <w:tcW w:type="dxa" w:w="2600"/>
            <w:tcMar>
              <w:top w:type="dxa" w:w="60"/>
              <w:left w:type="dxa" w:w="100"/>
              <w:bottom w:type="dxa" w:w="60"/>
              <w:right w:type="dxa" w:w="100"/>
            </w:tcMar>
            <w:vAlign w:val="center"/>
          </w:tcPr>
          <w:p>
            <w:pPr>
              <w:jc w:val="left"/>
            </w:pPr>
            <w:r>
              <w:rPr>
                <w:b w:val="false"/>
                <w:bCs w:val="false"/>
                <w:sz w:val="19"/>
                <w:szCs w:val="19"/>
              </w:rPr>
              <w:t xml:space="preserve">Share of U.S. undergraduates awarded a Pell Grant</w:t>
            </w:r>
          </w:p>
        </w:tc>
        <w:tc>
          <w:tcPr>
            <w:tcW w:type="dxa" w:w="1600"/>
            <w:tcMar>
              <w:top w:type="dxa" w:w="60"/>
              <w:left w:type="dxa" w:w="100"/>
              <w:bottom w:type="dxa" w:w="60"/>
              <w:right w:type="dxa" w:w="100"/>
            </w:tcMar>
            <w:vAlign w:val="center"/>
          </w:tcPr>
          <w:p>
            <w:pPr>
              <w:jc w:val="left"/>
            </w:pPr>
            <w:r>
              <w:rPr>
                <w:b w:val="false"/>
                <w:bCs w:val="false"/>
                <w:sz w:val="19"/>
                <w:szCs w:val="19"/>
              </w:rPr>
              <w:t xml:space="preserve">32.4%</w:t>
            </w:r>
          </w:p>
        </w:tc>
        <w:tc>
          <w:tcPr>
            <w:tcW w:type="dxa" w:w="3600"/>
            <w:tcMar>
              <w:top w:type="dxa" w:w="60"/>
              <w:left w:type="dxa" w:w="100"/>
              <w:bottom w:type="dxa" w:w="60"/>
              <w:right w:type="dxa" w:w="100"/>
            </w:tcMar>
            <w:vAlign w:val="center"/>
          </w:tcPr>
          <w:p>
            <w:pPr>
              <w:jc w:val="left"/>
            </w:pPr>
            <w:r>
              <w:rPr>
                <w:b w:val="false"/>
                <w:bCs w:val="false"/>
                <w:sz w:val="19"/>
                <w:szCs w:val="19"/>
              </w:rPr>
              <w:t xml:space="preserve">U.S. Dept. of Education Pell Grant data, as reported by EducationData.org — “Pell Grant Statistics” (educationdata.org/pell-grant-statistics)</w:t>
            </w:r>
          </w:p>
        </w:tc>
        <w:tc>
          <w:tcPr>
            <w:tcW w:type="dxa" w:w="1700"/>
            <w:tcMar>
              <w:top w:type="dxa" w:w="60"/>
              <w:left w:type="dxa" w:w="100"/>
              <w:bottom w:type="dxa" w:w="60"/>
              <w:right w:type="dxa" w:w="100"/>
            </w:tcMar>
            <w:vAlign w:val="center"/>
          </w:tcPr>
          <w:p>
            <w:pPr>
              <w:jc w:val="left"/>
            </w:pPr>
            <w:r>
              <w:rPr>
                <w:b w:val="false"/>
                <w:bCs w:val="false"/>
                <w:sz w:val="19"/>
                <w:szCs w:val="19"/>
              </w:rPr>
              <w:t xml:space="preserve">AY2023-24; accessed 2026-08-18</w:t>
            </w:r>
          </w:p>
        </w:tc>
        <w:tc>
          <w:tcPr>
            <w:tcW w:type="dxa" w:w="1100"/>
            <w:tcMar>
              <w:top w:type="dxa" w:w="60"/>
              <w:left w:type="dxa" w:w="100"/>
              <w:bottom w:type="dxa" w:w="60"/>
              <w:right w:type="dxa" w:w="100"/>
            </w:tcMar>
            <w:vAlign w:val="center"/>
          </w:tcPr>
          <w:p>
            <w:pPr>
              <w:jc w:val="left"/>
            </w:pPr>
            <w:r>
              <w:rPr>
                <w:b w:val="false"/>
                <w:bCs w:val="false"/>
                <w:sz w:val="19"/>
                <w:szCs w:val="19"/>
              </w:rPr>
              <w:t xml:space="preserve">MEDIUM</w:t>
            </w:r>
          </w:p>
        </w:tc>
      </w:tr>
      <w:tr>
        <w:tc>
          <w:tcPr>
            <w:tcW w:type="dxa" w:w="500"/>
            <w:shd w:fill="F7F9FB" w:color="auto" w:val="clear"/>
            <w:tcMar>
              <w:top w:type="dxa" w:w="60"/>
              <w:left w:type="dxa" w:w="100"/>
              <w:bottom w:type="dxa" w:w="60"/>
              <w:right w:type="dxa" w:w="100"/>
            </w:tcMar>
            <w:vAlign w:val="center"/>
          </w:tcPr>
          <w:p>
            <w:pPr>
              <w:jc w:val="left"/>
            </w:pPr>
            <w:r>
              <w:rPr>
                <w:b w:val="false"/>
                <w:bCs w:val="false"/>
                <w:sz w:val="19"/>
                <w:szCs w:val="19"/>
              </w:rPr>
              <w:t xml:space="preserve">S2</w:t>
            </w:r>
          </w:p>
        </w:tc>
        <w:tc>
          <w:tcPr>
            <w:tcW w:type="dxa" w:w="2600"/>
            <w:shd w:fill="F7F9FB" w:color="auto" w:val="clear"/>
            <w:tcMar>
              <w:top w:type="dxa" w:w="60"/>
              <w:left w:type="dxa" w:w="100"/>
              <w:bottom w:type="dxa" w:w="60"/>
              <w:right w:type="dxa" w:w="100"/>
            </w:tcMar>
            <w:vAlign w:val="center"/>
          </w:tcPr>
          <w:p>
            <w:pPr>
              <w:jc w:val="left"/>
            </w:pPr>
            <w:r>
              <w:rPr>
                <w:b w:val="false"/>
                <w:bCs w:val="false"/>
                <w:sz w:val="19"/>
                <w:szCs w:val="19"/>
              </w:rPr>
              <w:t xml:space="preserve">Average Pell Grant award</w:t>
            </w:r>
          </w:p>
        </w:tc>
        <w:tc>
          <w:tcPr>
            <w:tcW w:type="dxa" w:w="1600"/>
            <w:shd w:fill="F7F9FB" w:color="auto" w:val="clear"/>
            <w:tcMar>
              <w:top w:type="dxa" w:w="60"/>
              <w:left w:type="dxa" w:w="100"/>
              <w:bottom w:type="dxa" w:w="60"/>
              <w:right w:type="dxa" w:w="100"/>
            </w:tcMar>
            <w:vAlign w:val="center"/>
          </w:tcPr>
          <w:p>
            <w:pPr>
              <w:jc w:val="left"/>
            </w:pPr>
            <w:r>
              <w:rPr>
                <w:b w:val="false"/>
                <w:bCs w:val="false"/>
                <w:sz w:val="19"/>
                <w:szCs w:val="19"/>
              </w:rPr>
              <w:t xml:space="preserve">$5,300</w:t>
            </w:r>
          </w:p>
        </w:tc>
        <w:tc>
          <w:tcPr>
            <w:tcW w:type="dxa" w:w="3600"/>
            <w:shd w:fill="F7F9FB" w:color="auto" w:val="clear"/>
            <w:tcMar>
              <w:top w:type="dxa" w:w="60"/>
              <w:left w:type="dxa" w:w="100"/>
              <w:bottom w:type="dxa" w:w="60"/>
              <w:right w:type="dxa" w:w="100"/>
            </w:tcMar>
            <w:vAlign w:val="center"/>
          </w:tcPr>
          <w:p>
            <w:pPr>
              <w:jc w:val="left"/>
            </w:pPr>
            <w:r>
              <w:rPr>
                <w:b w:val="false"/>
                <w:bCs w:val="false"/>
                <w:sz w:val="19"/>
                <w:szCs w:val="19"/>
              </w:rPr>
              <w:t xml:space="preserve">U.S. Dept. of Education Pell Grant data, as reported by EducationData.org — “Pell Grant Statistics” (educationdata.org/pell-grant-statistics)</w:t>
            </w:r>
          </w:p>
        </w:tc>
        <w:tc>
          <w:tcPr>
            <w:tcW w:type="dxa" w:w="1700"/>
            <w:shd w:fill="F7F9FB" w:color="auto" w:val="clear"/>
            <w:tcMar>
              <w:top w:type="dxa" w:w="60"/>
              <w:left w:type="dxa" w:w="100"/>
              <w:bottom w:type="dxa" w:w="60"/>
              <w:right w:type="dxa" w:w="100"/>
            </w:tcMar>
            <w:vAlign w:val="center"/>
          </w:tcPr>
          <w:p>
            <w:pPr>
              <w:jc w:val="left"/>
            </w:pPr>
            <w:r>
              <w:rPr>
                <w:b w:val="false"/>
                <w:bCs w:val="false"/>
                <w:sz w:val="19"/>
                <w:szCs w:val="19"/>
              </w:rPr>
              <w:t xml:space="preserve">AY2023-24; accessed 2026-08-18</w:t>
            </w:r>
          </w:p>
        </w:tc>
        <w:tc>
          <w:tcPr>
            <w:tcW w:type="dxa" w:w="1100"/>
            <w:shd w:fill="F7F9FB" w:color="auto" w:val="clear"/>
            <w:tcMar>
              <w:top w:type="dxa" w:w="60"/>
              <w:left w:type="dxa" w:w="100"/>
              <w:bottom w:type="dxa" w:w="60"/>
              <w:right w:type="dxa" w:w="100"/>
            </w:tcMar>
            <w:vAlign w:val="center"/>
          </w:tcPr>
          <w:p>
            <w:pPr>
              <w:jc w:val="left"/>
            </w:pPr>
            <w:r>
              <w:rPr>
                <w:b w:val="false"/>
                <w:bCs w:val="false"/>
                <w:sz w:val="19"/>
                <w:szCs w:val="19"/>
              </w:rPr>
              <w:t xml:space="preserve">MEDIUM</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S3</w:t>
            </w:r>
          </w:p>
        </w:tc>
        <w:tc>
          <w:tcPr>
            <w:tcW w:type="dxa" w:w="2600"/>
            <w:tcMar>
              <w:top w:type="dxa" w:w="60"/>
              <w:left w:type="dxa" w:w="100"/>
              <w:bottom w:type="dxa" w:w="60"/>
              <w:right w:type="dxa" w:w="100"/>
            </w:tcMar>
            <w:vAlign w:val="center"/>
          </w:tcPr>
          <w:p>
            <w:pPr>
              <w:jc w:val="left"/>
            </w:pPr>
            <w:r>
              <w:rPr>
                <w:b w:val="false"/>
                <w:bCs w:val="false"/>
                <w:sz w:val="19"/>
                <w:szCs w:val="19"/>
              </w:rPr>
              <w:t xml:space="preserve">2025-26 Cal Grant income ceilings by household size (Table A-1)</w:t>
            </w:r>
          </w:p>
        </w:tc>
        <w:tc>
          <w:tcPr>
            <w:tcW w:type="dxa" w:w="1600"/>
            <w:tcMar>
              <w:top w:type="dxa" w:w="60"/>
              <w:left w:type="dxa" w:w="100"/>
              <w:bottom w:type="dxa" w:w="60"/>
              <w:right w:type="dxa" w:w="100"/>
            </w:tcMar>
            <w:vAlign w:val="center"/>
          </w:tcPr>
          <w:p>
            <w:pPr>
              <w:jc w:val="left"/>
            </w:pPr>
            <w:r>
              <w:rPr>
                <w:b w:val="false"/>
                <w:bCs w:val="false"/>
                <w:sz w:val="19"/>
                <w:szCs w:val="19"/>
              </w:rPr>
              <w:t xml:space="preserve">see table</w:t>
            </w:r>
          </w:p>
        </w:tc>
        <w:tc>
          <w:tcPr>
            <w:tcW w:type="dxa" w:w="3600"/>
            <w:tcMar>
              <w:top w:type="dxa" w:w="60"/>
              <w:left w:type="dxa" w:w="100"/>
              <w:bottom w:type="dxa" w:w="60"/>
              <w:right w:type="dxa" w:w="100"/>
            </w:tcMar>
            <w:vAlign w:val="center"/>
          </w:tcPr>
          <w:p>
            <w:pPr>
              <w:jc w:val="left"/>
            </w:pPr>
            <w:r>
              <w:rPr>
                <w:b w:val="false"/>
                <w:bCs w:val="false"/>
                <w:sz w:val="19"/>
                <w:szCs w:val="19"/>
              </w:rPr>
              <w:t xml:space="preserve">California Student Aid Commission — “2025-26 Cal Grant Program Income Ceilings for New Applicants and Renewing Recipients” (csac.ca.gov)</w:t>
            </w:r>
          </w:p>
        </w:tc>
        <w:tc>
          <w:tcPr>
            <w:tcW w:type="dxa" w:w="1700"/>
            <w:tcMar>
              <w:top w:type="dxa" w:w="60"/>
              <w:left w:type="dxa" w:w="100"/>
              <w:bottom w:type="dxa" w:w="60"/>
              <w:right w:type="dxa" w:w="100"/>
            </w:tcMar>
            <w:vAlign w:val="center"/>
          </w:tcPr>
          <w:p>
            <w:pPr>
              <w:jc w:val="left"/>
            </w:pPr>
            <w:r>
              <w:rPr>
                <w:b w:val="false"/>
                <w:bCs w:val="false"/>
                <w:sz w:val="19"/>
                <w:szCs w:val="19"/>
              </w:rPr>
              <w:t xml:space="preserve">2025-26 award year; accessed 2026-08-18</w:t>
            </w:r>
          </w:p>
        </w:tc>
        <w:tc>
          <w:tcPr>
            <w:tcW w:type="dxa" w:w="1100"/>
            <w:tcMar>
              <w:top w:type="dxa" w:w="60"/>
              <w:left w:type="dxa" w:w="100"/>
              <w:bottom w:type="dxa" w:w="60"/>
              <w:right w:type="dxa" w:w="100"/>
            </w:tcMar>
            <w:vAlign w:val="center"/>
          </w:tcPr>
          <w:p>
            <w:pPr>
              <w:jc w:val="left"/>
            </w:pPr>
            <w:r>
              <w:rPr>
                <w:b w:val="false"/>
                <w:bCs w:val="false"/>
                <w:sz w:val="19"/>
                <w:szCs w:val="19"/>
              </w:rPr>
              <w:t xml:space="preserve">HIGH</w:t>
            </w:r>
          </w:p>
        </w:tc>
      </w:tr>
      <w:tr>
        <w:tc>
          <w:tcPr>
            <w:tcW w:type="dxa" w:w="500"/>
            <w:shd w:fill="F7F9FB" w:color="auto" w:val="clear"/>
            <w:tcMar>
              <w:top w:type="dxa" w:w="60"/>
              <w:left w:type="dxa" w:w="100"/>
              <w:bottom w:type="dxa" w:w="60"/>
              <w:right w:type="dxa" w:w="100"/>
            </w:tcMar>
            <w:vAlign w:val="center"/>
          </w:tcPr>
          <w:p>
            <w:pPr>
              <w:jc w:val="left"/>
            </w:pPr>
            <w:r>
              <w:rPr>
                <w:b w:val="false"/>
                <w:bCs w:val="false"/>
                <w:sz w:val="19"/>
                <w:szCs w:val="19"/>
              </w:rPr>
              <w:t xml:space="preserve">S4</w:t>
            </w:r>
          </w:p>
        </w:tc>
        <w:tc>
          <w:tcPr>
            <w:tcW w:type="dxa" w:w="2600"/>
            <w:shd w:fill="F7F9FB" w:color="auto" w:val="clear"/>
            <w:tcMar>
              <w:top w:type="dxa" w:w="60"/>
              <w:left w:type="dxa" w:w="100"/>
              <w:bottom w:type="dxa" w:w="60"/>
              <w:right w:type="dxa" w:w="100"/>
            </w:tcMar>
            <w:vAlign w:val="center"/>
          </w:tcPr>
          <w:p>
            <w:pPr>
              <w:jc w:val="left"/>
            </w:pPr>
            <w:r>
              <w:rPr>
                <w:b w:val="false"/>
                <w:bCs w:val="false"/>
                <w:sz w:val="19"/>
                <w:szCs w:val="19"/>
              </w:rPr>
              <w:t xml:space="preserve">Statewide Cal Grant recipients</w:t>
            </w:r>
          </w:p>
        </w:tc>
        <w:tc>
          <w:tcPr>
            <w:tcW w:type="dxa" w:w="1600"/>
            <w:shd w:fill="F7F9FB" w:color="auto" w:val="clear"/>
            <w:tcMar>
              <w:top w:type="dxa" w:w="60"/>
              <w:left w:type="dxa" w:w="100"/>
              <w:bottom w:type="dxa" w:w="60"/>
              <w:right w:type="dxa" w:w="100"/>
            </w:tcMar>
            <w:vAlign w:val="center"/>
          </w:tcPr>
          <w:p>
            <w:pPr>
              <w:jc w:val="left"/>
            </w:pPr>
            <w:r>
              <w:rPr>
                <w:b w:val="false"/>
                <w:bCs w:val="false"/>
                <w:sz w:val="19"/>
                <w:szCs w:val="19"/>
              </w:rPr>
              <w:t xml:space="preserve">453,000</w:t>
            </w:r>
          </w:p>
        </w:tc>
        <w:tc>
          <w:tcPr>
            <w:tcW w:type="dxa" w:w="3600"/>
            <w:shd w:fill="F7F9FB" w:color="auto" w:val="clear"/>
            <w:tcMar>
              <w:top w:type="dxa" w:w="60"/>
              <w:left w:type="dxa" w:w="100"/>
              <w:bottom w:type="dxa" w:w="60"/>
              <w:right w:type="dxa" w:w="100"/>
            </w:tcMar>
            <w:vAlign w:val="center"/>
          </w:tcPr>
          <w:p>
            <w:pPr>
              <w:jc w:val="left"/>
            </w:pPr>
            <w:r>
              <w:rPr>
                <w:b w:val="false"/>
                <w:bCs w:val="false"/>
                <w:sz w:val="19"/>
                <w:szCs w:val="19"/>
              </w:rPr>
              <w:t xml:space="preserve">California Legislative Analyst's Office — “The 2026-27 Budget: California Student Aid Commission” (lao.ca.gov)</w:t>
            </w:r>
          </w:p>
        </w:tc>
        <w:tc>
          <w:tcPr>
            <w:tcW w:type="dxa" w:w="1700"/>
            <w:shd w:fill="F7F9FB" w:color="auto" w:val="clear"/>
            <w:tcMar>
              <w:top w:type="dxa" w:w="60"/>
              <w:left w:type="dxa" w:w="100"/>
              <w:bottom w:type="dxa" w:w="60"/>
              <w:right w:type="dxa" w:w="100"/>
            </w:tcMar>
            <w:vAlign w:val="center"/>
          </w:tcPr>
          <w:p>
            <w:pPr>
              <w:jc w:val="left"/>
            </w:pPr>
            <w:r>
              <w:rPr>
                <w:b w:val="false"/>
                <w:bCs w:val="false"/>
                <w:sz w:val="19"/>
                <w:szCs w:val="19"/>
              </w:rPr>
              <w:t xml:space="preserve">AY2024-25; accessed 2026-08-18</w:t>
            </w:r>
          </w:p>
        </w:tc>
        <w:tc>
          <w:tcPr>
            <w:tcW w:type="dxa" w:w="1100"/>
            <w:shd w:fill="F7F9FB" w:color="auto" w:val="clear"/>
            <w:tcMar>
              <w:top w:type="dxa" w:w="60"/>
              <w:left w:type="dxa" w:w="100"/>
              <w:bottom w:type="dxa" w:w="60"/>
              <w:right w:type="dxa" w:w="100"/>
            </w:tcMar>
            <w:vAlign w:val="center"/>
          </w:tcPr>
          <w:p>
            <w:pPr>
              <w:jc w:val="left"/>
            </w:pPr>
            <w:r>
              <w:rPr>
                <w:b w:val="false"/>
                <w:bCs w:val="false"/>
                <w:sz w:val="19"/>
                <w:szCs w:val="19"/>
              </w:rPr>
              <w:t xml:space="preserve">HIGH</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S5</w:t>
            </w:r>
          </w:p>
        </w:tc>
        <w:tc>
          <w:tcPr>
            <w:tcW w:type="dxa" w:w="2600"/>
            <w:tcMar>
              <w:top w:type="dxa" w:w="60"/>
              <w:left w:type="dxa" w:w="100"/>
              <w:bottom w:type="dxa" w:w="60"/>
              <w:right w:type="dxa" w:w="100"/>
            </w:tcMar>
            <w:vAlign w:val="center"/>
          </w:tcPr>
          <w:p>
            <w:pPr>
              <w:jc w:val="left"/>
            </w:pPr>
            <w:r>
              <w:rPr>
                <w:b w:val="false"/>
                <w:bCs w:val="false"/>
                <w:sz w:val="19"/>
                <w:szCs w:val="19"/>
              </w:rPr>
              <w:t xml:space="preserve">Total California undergraduate enrollment</w:t>
            </w:r>
          </w:p>
        </w:tc>
        <w:tc>
          <w:tcPr>
            <w:tcW w:type="dxa" w:w="1600"/>
            <w:tcMar>
              <w:top w:type="dxa" w:w="60"/>
              <w:left w:type="dxa" w:w="100"/>
              <w:bottom w:type="dxa" w:w="60"/>
              <w:right w:type="dxa" w:w="100"/>
            </w:tcMar>
            <w:vAlign w:val="center"/>
          </w:tcPr>
          <w:p>
            <w:pPr>
              <w:jc w:val="left"/>
            </w:pPr>
            <w:r>
              <w:rPr>
                <w:b w:val="false"/>
                <w:bCs w:val="false"/>
                <w:sz w:val="19"/>
                <w:szCs w:val="19"/>
              </w:rPr>
              <w:t xml:space="preserve">2,440,631</w:t>
            </w:r>
          </w:p>
        </w:tc>
        <w:tc>
          <w:tcPr>
            <w:tcW w:type="dxa" w:w="3600"/>
            <w:tcMar>
              <w:top w:type="dxa" w:w="60"/>
              <w:left w:type="dxa" w:w="100"/>
              <w:bottom w:type="dxa" w:w="60"/>
              <w:right w:type="dxa" w:w="100"/>
            </w:tcMar>
            <w:vAlign w:val="center"/>
          </w:tcPr>
          <w:p>
            <w:pPr>
              <w:jc w:val="left"/>
            </w:pPr>
            <w:r>
              <w:rPr>
                <w:b w:val="false"/>
                <w:bCs w:val="false"/>
                <w:sz w:val="19"/>
                <w:szCs w:val="19"/>
              </w:rPr>
              <w:t xml:space="preserve">Aggregated NCES/CA state enrollment data, as reported by UnivStats — “Enrollment Statistics at California Colleges” (univstats.com)</w:t>
            </w:r>
          </w:p>
        </w:tc>
        <w:tc>
          <w:tcPr>
            <w:tcW w:type="dxa" w:w="1700"/>
            <w:tcMar>
              <w:top w:type="dxa" w:w="60"/>
              <w:left w:type="dxa" w:w="100"/>
              <w:bottom w:type="dxa" w:w="60"/>
              <w:right w:type="dxa" w:w="100"/>
            </w:tcMar>
            <w:vAlign w:val="center"/>
          </w:tcPr>
          <w:p>
            <w:pPr>
              <w:jc w:val="left"/>
            </w:pPr>
            <w:r>
              <w:rPr>
                <w:b w:val="false"/>
                <w:bCs w:val="false"/>
                <w:sz w:val="19"/>
                <w:szCs w:val="19"/>
              </w:rPr>
              <w:t xml:space="preserve">AY2024-25; accessed 2026-08-18</w:t>
            </w:r>
          </w:p>
        </w:tc>
        <w:tc>
          <w:tcPr>
            <w:tcW w:type="dxa" w:w="1100"/>
            <w:tcMar>
              <w:top w:type="dxa" w:w="60"/>
              <w:left w:type="dxa" w:w="100"/>
              <w:bottom w:type="dxa" w:w="60"/>
              <w:right w:type="dxa" w:w="100"/>
            </w:tcMar>
            <w:vAlign w:val="center"/>
          </w:tcPr>
          <w:p>
            <w:pPr>
              <w:jc w:val="left"/>
            </w:pPr>
            <w:r>
              <w:rPr>
                <w:b w:val="false"/>
                <w:bCs w:val="false"/>
                <w:sz w:val="19"/>
                <w:szCs w:val="19"/>
              </w:rPr>
              <w:t xml:space="preserve">MEDIUM</w:t>
            </w:r>
          </w:p>
        </w:tc>
      </w:tr>
      <w:tr>
        <w:tc>
          <w:tcPr>
            <w:tcW w:type="dxa" w:w="500"/>
            <w:shd w:fill="F7F9FB" w:color="auto" w:val="clear"/>
            <w:tcMar>
              <w:top w:type="dxa" w:w="60"/>
              <w:left w:type="dxa" w:w="100"/>
              <w:bottom w:type="dxa" w:w="60"/>
              <w:right w:type="dxa" w:w="100"/>
            </w:tcMar>
            <w:vAlign w:val="center"/>
          </w:tcPr>
          <w:p>
            <w:pPr>
              <w:jc w:val="left"/>
            </w:pPr>
            <w:r>
              <w:rPr>
                <w:b w:val="false"/>
                <w:bCs w:val="false"/>
                <w:sz w:val="19"/>
                <w:szCs w:val="19"/>
              </w:rPr>
              <w:t xml:space="preserve">S6</w:t>
            </w:r>
          </w:p>
        </w:tc>
        <w:tc>
          <w:tcPr>
            <w:tcW w:type="dxa" w:w="2600"/>
            <w:shd w:fill="F7F9FB" w:color="auto" w:val="clear"/>
            <w:tcMar>
              <w:top w:type="dxa" w:w="60"/>
              <w:left w:type="dxa" w:w="100"/>
              <w:bottom w:type="dxa" w:w="60"/>
              <w:right w:type="dxa" w:w="100"/>
            </w:tcMar>
            <w:vAlign w:val="center"/>
          </w:tcPr>
          <w:p>
            <w:pPr>
              <w:jc w:val="left"/>
            </w:pPr>
            <w:r>
              <w:rPr>
                <w:b w:val="false"/>
                <w:bCs w:val="false"/>
                <w:sz w:val="19"/>
                <w:szCs w:val="19"/>
              </w:rPr>
              <w:t xml:space="preserve">Cal Grant B Access Award, first-year students</w:t>
            </w:r>
          </w:p>
        </w:tc>
        <w:tc>
          <w:tcPr>
            <w:tcW w:type="dxa" w:w="1600"/>
            <w:shd w:fill="F7F9FB" w:color="auto" w:val="clear"/>
            <w:tcMar>
              <w:top w:type="dxa" w:w="60"/>
              <w:left w:type="dxa" w:w="100"/>
              <w:bottom w:type="dxa" w:w="60"/>
              <w:right w:type="dxa" w:w="100"/>
            </w:tcMar>
            <w:vAlign w:val="center"/>
          </w:tcPr>
          <w:p>
            <w:pPr>
              <w:jc w:val="left"/>
            </w:pPr>
            <w:r>
              <w:rPr>
                <w:b w:val="false"/>
                <w:bCs w:val="false"/>
                <w:sz w:val="19"/>
                <w:szCs w:val="19"/>
              </w:rPr>
              <w:t xml:space="preserve">$1,648</w:t>
            </w:r>
          </w:p>
        </w:tc>
        <w:tc>
          <w:tcPr>
            <w:tcW w:type="dxa" w:w="3600"/>
            <w:shd w:fill="F7F9FB" w:color="auto" w:val="clear"/>
            <w:tcMar>
              <w:top w:type="dxa" w:w="60"/>
              <w:left w:type="dxa" w:w="100"/>
              <w:bottom w:type="dxa" w:w="60"/>
              <w:right w:type="dxa" w:w="100"/>
            </w:tcMar>
            <w:vAlign w:val="center"/>
          </w:tcPr>
          <w:p>
            <w:pPr>
              <w:jc w:val="left"/>
            </w:pPr>
            <w:r>
              <w:rPr>
                <w:b w:val="false"/>
                <w:bCs w:val="false"/>
                <w:sz w:val="19"/>
                <w:szCs w:val="19"/>
              </w:rPr>
              <w:t xml:space="preserve">California Student Aid Commission, as reported in secondary summary — “What are the Cal Grant Award Amounts” (csac.ca.gov)</w:t>
            </w:r>
          </w:p>
        </w:tc>
        <w:tc>
          <w:tcPr>
            <w:tcW w:type="dxa" w:w="1700"/>
            <w:shd w:fill="F7F9FB" w:color="auto" w:val="clear"/>
            <w:tcMar>
              <w:top w:type="dxa" w:w="60"/>
              <w:left w:type="dxa" w:w="100"/>
              <w:bottom w:type="dxa" w:w="60"/>
              <w:right w:type="dxa" w:w="100"/>
            </w:tcMar>
            <w:vAlign w:val="center"/>
          </w:tcPr>
          <w:p>
            <w:pPr>
              <w:jc w:val="left"/>
            </w:pPr>
            <w:r>
              <w:rPr>
                <w:b w:val="false"/>
                <w:bCs w:val="false"/>
                <w:sz w:val="19"/>
                <w:szCs w:val="19"/>
              </w:rPr>
              <w:t xml:space="preserve">2025-26 award year; accessed 2026-08-18</w:t>
            </w:r>
          </w:p>
        </w:tc>
        <w:tc>
          <w:tcPr>
            <w:tcW w:type="dxa" w:w="1100"/>
            <w:shd w:fill="F7F9FB" w:color="auto" w:val="clear"/>
            <w:tcMar>
              <w:top w:type="dxa" w:w="60"/>
              <w:left w:type="dxa" w:w="100"/>
              <w:bottom w:type="dxa" w:w="60"/>
              <w:right w:type="dxa" w:w="100"/>
            </w:tcMar>
            <w:vAlign w:val="center"/>
          </w:tcPr>
          <w:p>
            <w:pPr>
              <w:jc w:val="left"/>
            </w:pPr>
            <w:r>
              <w:rPr>
                <w:b w:val="false"/>
                <w:bCs w:val="false"/>
                <w:sz w:val="19"/>
                <w:szCs w:val="19"/>
              </w:rPr>
              <w:t xml:space="preserve">MEDIUM</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S7</w:t>
            </w:r>
          </w:p>
        </w:tc>
        <w:tc>
          <w:tcPr>
            <w:tcW w:type="dxa" w:w="2600"/>
            <w:tcMar>
              <w:top w:type="dxa" w:w="60"/>
              <w:left w:type="dxa" w:w="100"/>
              <w:bottom w:type="dxa" w:w="60"/>
              <w:right w:type="dxa" w:w="100"/>
            </w:tcMar>
            <w:vAlign w:val="center"/>
          </w:tcPr>
          <w:p>
            <w:pPr>
              <w:jc w:val="left"/>
            </w:pPr>
            <w:r>
              <w:rPr>
                <w:b w:val="false"/>
                <w:bCs w:val="false"/>
                <w:sz w:val="19"/>
                <w:szCs w:val="19"/>
              </w:rPr>
              <w:t xml:space="preserve">USPS commercial Marketing Mail Letters, automation presort pricing (Table C-1)</w:t>
            </w:r>
          </w:p>
        </w:tc>
        <w:tc>
          <w:tcPr>
            <w:tcW w:type="dxa" w:w="1600"/>
            <w:tcMar>
              <w:top w:type="dxa" w:w="60"/>
              <w:left w:type="dxa" w:w="100"/>
              <w:bottom w:type="dxa" w:w="60"/>
              <w:right w:type="dxa" w:w="100"/>
            </w:tcMar>
            <w:vAlign w:val="center"/>
          </w:tcPr>
          <w:p>
            <w:pPr>
              <w:jc w:val="left"/>
            </w:pPr>
            <w:r>
              <w:rPr>
                <w:b w:val="false"/>
                <w:bCs w:val="false"/>
                <w:sz w:val="19"/>
                <w:szCs w:val="19"/>
              </w:rPr>
              <w:t xml:space="preserve">see table</w:t>
            </w:r>
          </w:p>
        </w:tc>
        <w:tc>
          <w:tcPr>
            <w:tcW w:type="dxa" w:w="3600"/>
            <w:tcMar>
              <w:top w:type="dxa" w:w="60"/>
              <w:left w:type="dxa" w:w="100"/>
              <w:bottom w:type="dxa" w:w="60"/>
              <w:right w:type="dxa" w:w="100"/>
            </w:tcMar>
            <w:vAlign w:val="center"/>
          </w:tcPr>
          <w:p>
            <w:pPr>
              <w:jc w:val="left"/>
            </w:pPr>
            <w:r>
              <w:rPr>
                <w:b w:val="false"/>
                <w:bCs w:val="false"/>
                <w:sz w:val="19"/>
                <w:szCs w:val="19"/>
              </w:rPr>
              <w:t xml:space="preserve">United States Postal Service — Notice 123 Price List (pe.usps.com)</w:t>
            </w:r>
          </w:p>
        </w:tc>
        <w:tc>
          <w:tcPr>
            <w:tcW w:type="dxa" w:w="1700"/>
            <w:tcMar>
              <w:top w:type="dxa" w:w="60"/>
              <w:left w:type="dxa" w:w="100"/>
              <w:bottom w:type="dxa" w:w="60"/>
              <w:right w:type="dxa" w:w="100"/>
            </w:tcMar>
            <w:vAlign w:val="center"/>
          </w:tcPr>
          <w:p>
            <w:pPr>
              <w:jc w:val="left"/>
            </w:pPr>
            <w:r>
              <w:rPr>
                <w:b w:val="false"/>
                <w:bCs w:val="false"/>
                <w:sz w:val="19"/>
                <w:szCs w:val="19"/>
              </w:rPr>
              <w:t xml:space="preserve">effective 2026-07-12; accessed 2026-08-18</w:t>
            </w:r>
          </w:p>
        </w:tc>
        <w:tc>
          <w:tcPr>
            <w:tcW w:type="dxa" w:w="1100"/>
            <w:tcMar>
              <w:top w:type="dxa" w:w="60"/>
              <w:left w:type="dxa" w:w="100"/>
              <w:bottom w:type="dxa" w:w="60"/>
              <w:right w:type="dxa" w:w="100"/>
            </w:tcMar>
            <w:vAlign w:val="center"/>
          </w:tcPr>
          <w:p>
            <w:pPr>
              <w:jc w:val="left"/>
            </w:pPr>
            <w:r>
              <w:rPr>
                <w:b w:val="false"/>
                <w:bCs w:val="false"/>
                <w:sz w:val="19"/>
                <w:szCs w:val="19"/>
              </w:rPr>
              <w:t xml:space="preserve">HIGH</w:t>
            </w:r>
          </w:p>
        </w:tc>
      </w:tr>
      <w:tr>
        <w:tc>
          <w:tcPr>
            <w:tcW w:type="dxa" w:w="500"/>
            <w:shd w:fill="F7F9FB" w:color="auto" w:val="clear"/>
            <w:tcMar>
              <w:top w:type="dxa" w:w="60"/>
              <w:left w:type="dxa" w:w="100"/>
              <w:bottom w:type="dxa" w:w="60"/>
              <w:right w:type="dxa" w:w="100"/>
            </w:tcMar>
            <w:vAlign w:val="center"/>
          </w:tcPr>
          <w:p>
            <w:pPr>
              <w:jc w:val="left"/>
            </w:pPr>
            <w:r>
              <w:rPr>
                <w:b w:val="false"/>
                <w:bCs w:val="false"/>
                <w:sz w:val="19"/>
                <w:szCs w:val="19"/>
              </w:rPr>
              <w:t xml:space="preserve">S8</w:t>
            </w:r>
          </w:p>
        </w:tc>
        <w:tc>
          <w:tcPr>
            <w:tcW w:type="dxa" w:w="2600"/>
            <w:shd w:fill="F7F9FB" w:color="auto" w:val="clear"/>
            <w:tcMar>
              <w:top w:type="dxa" w:w="60"/>
              <w:left w:type="dxa" w:w="100"/>
              <w:bottom w:type="dxa" w:w="60"/>
              <w:right w:type="dxa" w:w="100"/>
            </w:tcMar>
            <w:vAlign w:val="center"/>
          </w:tcPr>
          <w:p>
            <w:pPr>
              <w:jc w:val="left"/>
            </w:pPr>
            <w:r>
              <w:rPr>
                <w:b w:val="false"/>
                <w:bCs w:val="false"/>
                <w:sz w:val="19"/>
                <w:szCs w:val="19"/>
              </w:rPr>
              <w:t xml:space="preserve">FAFSA renewal reminder email RCT effect</w:t>
            </w:r>
          </w:p>
        </w:tc>
        <w:tc>
          <w:tcPr>
            <w:tcW w:type="dxa" w:w="1600"/>
            <w:shd w:fill="F7F9FB" w:color="auto" w:val="clear"/>
            <w:tcMar>
              <w:top w:type="dxa" w:w="60"/>
              <w:left w:type="dxa" w:w="100"/>
              <w:bottom w:type="dxa" w:w="60"/>
              <w:right w:type="dxa" w:w="100"/>
            </w:tcMar>
            <w:vAlign w:val="center"/>
          </w:tcPr>
          <w:p>
            <w:pPr>
              <w:jc w:val="left"/>
            </w:pPr>
            <w:r>
              <w:rPr>
                <w:b w:val="false"/>
                <w:bCs w:val="false"/>
                <w:sz w:val="19"/>
                <w:szCs w:val="19"/>
              </w:rPr>
              <w:t xml:space="preserve">4.34% → 7.77% within 20 days</w:t>
            </w:r>
          </w:p>
        </w:tc>
        <w:tc>
          <w:tcPr>
            <w:tcW w:type="dxa" w:w="3600"/>
            <w:shd w:fill="F7F9FB" w:color="auto" w:val="clear"/>
            <w:tcMar>
              <w:top w:type="dxa" w:w="60"/>
              <w:left w:type="dxa" w:w="100"/>
              <w:bottom w:type="dxa" w:w="60"/>
              <w:right w:type="dxa" w:w="100"/>
            </w:tcMar>
            <w:vAlign w:val="center"/>
          </w:tcPr>
          <w:p>
            <w:pPr>
              <w:jc w:val="left"/>
            </w:pPr>
            <w:r>
              <w:rPr>
                <w:b w:val="false"/>
                <w:bCs w:val="false"/>
                <w:sz w:val="19"/>
                <w:szCs w:val="19"/>
              </w:rPr>
              <w:t xml:space="preserve">U.S. GSA Office of Evaluation Sciences, with Federal Student Aid — “Increasing FAFSA Renewal Rates” (oes.gsa.gov)</w:t>
            </w:r>
          </w:p>
        </w:tc>
        <w:tc>
          <w:tcPr>
            <w:tcW w:type="dxa" w:w="1700"/>
            <w:shd w:fill="F7F9FB" w:color="auto" w:val="clear"/>
            <w:tcMar>
              <w:top w:type="dxa" w:w="60"/>
              <w:left w:type="dxa" w:w="100"/>
              <w:bottom w:type="dxa" w:w="60"/>
              <w:right w:type="dxa" w:w="100"/>
            </w:tcMar>
            <w:vAlign w:val="center"/>
          </w:tcPr>
          <w:p>
            <w:pPr>
              <w:jc w:val="left"/>
            </w:pPr>
            <w:r>
              <w:rPr>
                <w:b w:val="false"/>
                <w:bCs w:val="false"/>
                <w:sz w:val="19"/>
                <w:szCs w:val="19"/>
              </w:rPr>
              <w:t xml:space="preserve">2017; accessed 2026-08-18</w:t>
            </w:r>
          </w:p>
        </w:tc>
        <w:tc>
          <w:tcPr>
            <w:tcW w:type="dxa" w:w="1100"/>
            <w:shd w:fill="F7F9FB" w:color="auto" w:val="clear"/>
            <w:tcMar>
              <w:top w:type="dxa" w:w="60"/>
              <w:left w:type="dxa" w:w="100"/>
              <w:bottom w:type="dxa" w:w="60"/>
              <w:right w:type="dxa" w:w="100"/>
            </w:tcMar>
            <w:vAlign w:val="center"/>
          </w:tcPr>
          <w:p>
            <w:pPr>
              <w:jc w:val="left"/>
            </w:pPr>
            <w:r>
              <w:rPr>
                <w:b w:val="false"/>
                <w:bCs w:val="false"/>
                <w:sz w:val="19"/>
                <w:szCs w:val="19"/>
              </w:rPr>
              <w:t xml:space="preserve">HIGH</w:t>
            </w:r>
          </w:p>
        </w:tc>
      </w:tr>
    </w:tbl>
    <w:p>
      <w:pPr>
        <w:spacing w:after="200"/>
      </w:pPr>
    </w:p>
    <w:p>
      <w:pPr>
        <w:pStyle w:val="Heading1"/>
        <w:spacing w:after="160" w:before="320"/>
      </w:pPr>
      <w:r>
        <w:t xml:space="preserve">Appendix G — “How To…” Math Questions To Research</w:t>
      </w:r>
    </w:p>
    <w:p>
      <w:pPr>
        <w:spacing w:after="100" w:before="100"/>
      </w:pPr>
      <w:r>
        <w:rPr>
          <w:b/>
          <w:bCs/>
        </w:rPr>
        <w:t xml:space="preserve">Vocabulary terms</w:t>
      </w:r>
    </w:p>
    <w:p>
      <w:pPr>
        <w:pStyle w:val="ListParagraph"/>
        <w:numPr>
          <w:ilvl w:val="0"/>
          <w:numId w:val="2"/>
        </w:numPr>
        <w:spacing w:after="100"/>
      </w:pPr>
      <w:r>
        <w:t xml:space="preserve">Set</w:t>
      </w:r>
    </w:p>
    <w:p>
      <w:pPr>
        <w:pStyle w:val="ListParagraph"/>
        <w:numPr>
          <w:ilvl w:val="0"/>
          <w:numId w:val="2"/>
        </w:numPr>
        <w:spacing w:after="100"/>
      </w:pPr>
      <w:r>
        <w:t xml:space="preserve">Subset</w:t>
      </w:r>
    </w:p>
    <w:p>
      <w:pPr>
        <w:pStyle w:val="ListParagraph"/>
        <w:numPr>
          <w:ilvl w:val="0"/>
          <w:numId w:val="2"/>
        </w:numPr>
        <w:spacing w:after="100"/>
      </w:pPr>
      <w:r>
        <w:t xml:space="preserve">Union</w:t>
      </w:r>
    </w:p>
    <w:p>
      <w:pPr>
        <w:pStyle w:val="ListParagraph"/>
        <w:numPr>
          <w:ilvl w:val="0"/>
          <w:numId w:val="2"/>
        </w:numPr>
        <w:spacing w:after="100"/>
      </w:pPr>
      <w:r>
        <w:t xml:space="preserve">Intersection</w:t>
      </w:r>
    </w:p>
    <w:p>
      <w:pPr>
        <w:pStyle w:val="ListParagraph"/>
        <w:numPr>
          <w:ilvl w:val="0"/>
          <w:numId w:val="2"/>
        </w:numPr>
        <w:spacing w:after="100"/>
      </w:pPr>
      <w:r>
        <w:t xml:space="preserve">Empty Set</w:t>
      </w:r>
    </w:p>
    <w:p>
      <w:pPr>
        <w:pStyle w:val="ListParagraph"/>
        <w:numPr>
          <w:ilvl w:val="0"/>
          <w:numId w:val="2"/>
        </w:numPr>
        <w:spacing w:after="100"/>
      </w:pPr>
      <w:r>
        <w:t xml:space="preserve">Venn Diagram</w:t>
      </w:r>
    </w:p>
    <w:p>
      <w:pPr>
        <w:spacing w:after="100" w:before="200"/>
      </w:pPr>
      <w:r>
        <w:rPr>
          <w:b/>
          <w:bCs/>
        </w:rPr>
        <w:t xml:space="preserve">"How to…" questions</w:t>
      </w:r>
    </w:p>
    <w:p>
      <w:pPr>
        <w:pStyle w:val="ListParagraph"/>
        <w:numPr>
          <w:ilvl w:val="0"/>
          <w:numId w:val="2"/>
        </w:numPr>
        <w:spacing w:after="100"/>
      </w:pPr>
      <w:r>
        <w:t xml:space="preserve">How to find the union and intersection of two sets</w:t>
      </w:r>
    </w:p>
    <w:p>
      <w:pPr>
        <w:pStyle w:val="ListParagraph"/>
        <w:numPr>
          <w:ilvl w:val="0"/>
          <w:numId w:val="2"/>
        </w:numPr>
        <w:spacing w:after="100"/>
      </w:pPr>
      <w:r>
        <w:t xml:space="preserve">How to represent a set relationship using a Venn diagram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acb_owuvsxrg8vsn7kor" Type="http://schemas.openxmlformats.org/officeDocument/2006/relationships/hyperlink" Target="https://www.canva.com/graphs/venn-diagram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2026-08-24T04:55:41.346Z</dcterms:created>
  <dcterms:modified xsi:type="dcterms:W3CDTF">2026-08-24T04:55:41.349Z</dcterms:modified>
</cp:coreProperties>
</file>

<file path=docProps/custom.xml><?xml version="1.0" encoding="utf-8"?>
<Properties xmlns="http://schemas.openxmlformats.org/officeDocument/2006/custom-properties" xmlns:vt="http://schemas.openxmlformats.org/officeDocument/2006/docPropsVTypes"/>
</file>