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a3a5c"/>
          <w:sz w:val="40"/>
          <w:szCs w:val="40"/>
        </w:rPr>
        <w:t xml:space="preserve">Facilitator Guide: Grant Reach</w:t>
      </w:r>
    </w:p>
    <w:p>
      <w:pPr>
        <w:pBdr>
          <w:bottom w:val="single" w:color="c9a227" w:sz="8" w:space="8"/>
        </w:pBdr>
        <w:spacing w:after="320"/>
      </w:pPr>
      <w:r>
        <w:rPr>
          <w:color w:val="5B6472"/>
          <w:sz w:val="20"/>
          <w:szCs w:val="20"/>
        </w:rPr>
        <w:t xml:space="preserve">MS | Math | Case Study | 2026-27 | Heroes Academy — Facilitator Only</w:t>
      </w:r>
    </w:p>
    <w:p>
      <w:pPr>
        <w:pBdr>
          <w:top w:val="single" w:color="c9a227" w:sz="12" w:space="8"/>
          <w:bottom w:val="single" w:color="c9a227" w:sz="12" w:space="8"/>
          <w:left w:val="single" w:color="c9a227" w:sz="12" w:space="8"/>
          <w:right w:val="single" w:color="c9a227" w:sz="12" w:space="8"/>
        </w:pBdr>
        <w:shd w:fill="f7edcf" w:color="auto" w:val="clear"/>
        <w:spacing w:after="100" w:before="100"/>
        <w:ind w:left="60" w:right="60"/>
      </w:pPr>
      <w:r>
        <w:rPr>
          <w:b/>
          <w:bCs/>
          <w:color w:val="3A2F0C"/>
          <w:sz w:val="24"/>
          <w:szCs w:val="24"/>
        </w:rPr>
        <w:t xml:space="preserve">RUN-OF-SHOW — READ BEFORE FACILITATING</w:t>
      </w:r>
    </w:p>
    <w:p>
      <w:pPr>
        <w:pBdr>
          <w:left w:val="single" w:color="c9a227" w:sz="12" w:space="8"/>
          <w:right w:val="single" w:color="c9a227" w:sz="12" w:space="8"/>
        </w:pBdr>
        <w:shd w:fill="f7edcf" w:color="auto" w:val="clear"/>
        <w:spacing w:after="100"/>
        <w:ind w:left="60" w:right="60"/>
      </w:pPr>
      <w:r>
        <w:rPr>
          <w:b/>
          <w:bCs/>
        </w:rPr>
        <w:t xml:space="preserve">The two arguments and the real margin.</w:t>
      </w:r>
    </w:p>
    <w:p>
      <w:pPr>
        <w:pBdr>
          <w:left w:val="single" w:color="c9a227" w:sz="12" w:space="8"/>
          <w:right w:val="single" w:color="c9a227" w:sz="12" w:space="8"/>
        </w:pBdr>
        <w:shd w:fill="f7edcf" w:color="auto" w:val="clear"/>
        <w:spacing w:after="100"/>
        <w:ind w:left="60" w:right="60"/>
      </w:pPr>
      <w:r>
        <w:t xml:space="preserve">Argument A (Order A — Full Reach): reaches every eligible student — the full union, 3,250 students — and produces 2,275 projected on-time renewals under Modeling Assumptions MA4/MA5, versus 1,988 under Order B — a real gap of 287 students who keep aid they would otherwise lose, for $1,517.75 of university money.</w:t>
      </w:r>
    </w:p>
    <w:p>
      <w:pPr>
        <w:pBdr>
          <w:left w:val="single" w:color="c9a227" w:sz="12" w:space="8"/>
          <w:right w:val="single" w:color="c9a227" w:sz="12" w:space="8"/>
        </w:pBdr>
        <w:shd w:fill="f7edcf" w:color="auto" w:val="clear"/>
        <w:spacing w:after="100"/>
        <w:ind w:left="60" w:right="60"/>
      </w:pPr>
      <w:r>
        <w:t xml:space="preserve">Argument B (Order B — Shared Only): costs the university exactly $0.00 and still reaches the highest-need overlap group (1,336 students eligible for both programs), producing 1,988 of the 2,275 renewals Order A would produce — roughly 87% of Order A's outcome at 0% of Order A's university cost, leaving the rest of the year's $1,600 discretionary budget untouched.</w:t>
      </w:r>
    </w:p>
    <w:p>
      <w:pPr>
        <w:pBdr>
          <w:left w:val="single" w:color="c9a227" w:sz="12" w:space="8"/>
          <w:right w:val="single" w:color="c9a227" w:sz="12" w:space="8"/>
        </w:pBdr>
        <w:shd w:fill="f7edcf" w:color="auto" w:val="clear"/>
        <w:spacing w:after="100"/>
        <w:ind w:left="60" w:right="60"/>
      </w:pPr>
      <w:r>
        <w:rPr>
          <w:b/>
          <w:bCs/>
        </w:rPr>
        <w:t xml:space="preserve">Margin (computed on total on-time renewals achieved, not the degenerate $/renewal metric): (2,275 − 1,988) / 2,275 = 12.6%.</w:t>
      </w:r>
    </w:p>
    <w:p>
      <w:pPr>
        <w:pBdr>
          <w:left w:val="single" w:color="c9a227" w:sz="12" w:space="8"/>
          <w:right w:val="single" w:color="c9a227" w:sz="12" w:space="8"/>
        </w:pBdr>
        <w:shd w:fill="f7edcf" w:color="auto" w:val="clear"/>
        <w:spacing w:after="100"/>
        <w:ind w:left="60" w:right="60"/>
      </w:pPr>
      <w:r>
        <w:rPr>
          <w:b/>
          <w:bCs/>
        </w:rPr>
        <w:t xml:space="preserve">The five Socratic questions.</w:t>
      </w:r>
    </w:p>
    <w:p>
      <w:pPr>
        <w:pStyle w:val="ListParagraph"/>
        <w:numPr>
          <w:ilvl w:val="0"/>
          <w:numId w:val="2"/>
        </w:numPr>
        <w:pBdr>
          <w:left w:val="single" w:color="c9a227" w:sz="12" w:space="8"/>
          <w:right w:val="single" w:color="c9a227" w:sz="12" w:space="8"/>
        </w:pBdr>
        <w:shd w:fill="f7edcf" w:color="auto" w:val="clear"/>
        <w:spacing w:after="80"/>
        <w:ind w:left="460" w:right="60"/>
      </w:pPr>
      <w:r>
        <w:t xml:space="preserve">1. Order B's cost-per-renewal is $0.00 and Order A's is about $0.67. If cost-per-renewal is the only thing that matters, does the discussion even need to happen — and if it isn't the only thing that matters, what did we leave out of that number?</w:t>
      </w:r>
    </w:p>
    <w:p>
      <w:pPr>
        <w:pStyle w:val="ListParagraph"/>
        <w:numPr>
          <w:ilvl w:val="0"/>
          <w:numId w:val="2"/>
        </w:numPr>
        <w:pBdr>
          <w:left w:val="single" w:color="c9a227" w:sz="12" w:space="8"/>
          <w:right w:val="single" w:color="c9a227" w:sz="12" w:space="8"/>
        </w:pBdr>
        <w:shd w:fill="f7edcf" w:color="auto" w:val="clear"/>
        <w:spacing w:after="80"/>
        <w:ind w:left="460" w:right="60"/>
      </w:pPr>
      <w:r>
        <w:t xml:space="preserve">2. Deliverable D3 asks you to name the empty set under each order. Under Order A, which set is empty — and what does it mean, in plain language, that a set of people can be empty?</w:t>
      </w:r>
    </w:p>
    <w:p>
      <w:pPr>
        <w:pStyle w:val="ListParagraph"/>
        <w:numPr>
          <w:ilvl w:val="0"/>
          <w:numId w:val="2"/>
        </w:numPr>
        <w:pBdr>
          <w:left w:val="single" w:color="c9a227" w:sz="12" w:space="8"/>
          <w:right w:val="single" w:color="c9a227" w:sz="12" w:space="8"/>
        </w:pBdr>
        <w:shd w:fill="f7edcf" w:color="auto" w:val="clear"/>
        <w:spacing w:after="80"/>
        <w:ind w:left="460" w:right="60"/>
      </w:pPr>
      <w:r>
        <w:t xml:space="preserve">3. If Modeling Assumption MA3 (the 80% overlap) were wrong — if the real overlap were meaningfully smaller than 80% — which counts in your Venn diagram change, and which stay fixed?</w:t>
      </w:r>
    </w:p>
    <w:p>
      <w:pPr>
        <w:pStyle w:val="ListParagraph"/>
        <w:numPr>
          <w:ilvl w:val="0"/>
          <w:numId w:val="2"/>
        </w:numPr>
        <w:pBdr>
          <w:left w:val="single" w:color="c9a227" w:sz="12" w:space="8"/>
          <w:right w:val="single" w:color="c9a227" w:sz="12" w:space="8"/>
        </w:pBdr>
        <w:shd w:fill="f7edcf" w:color="auto" w:val="clear"/>
        <w:spacing w:after="80"/>
        <w:ind w:left="460" w:right="60"/>
      </w:pPr>
      <w:r>
        <w:t xml:space="preserve">4. Cascade State's discretionary mailing budget is $1,600 for the whole year, not just this one mailing. What does Order A do to the office's ability to fund anything else this year, and does that change your recommendation even if the renewal numbers stayed exactly the same?</w:t>
      </w:r>
    </w:p>
    <w:p>
      <w:pPr>
        <w:pStyle w:val="ListParagraph"/>
        <w:numPr>
          <w:ilvl w:val="0"/>
          <w:numId w:val="2"/>
        </w:numPr>
        <w:pBdr>
          <w:left w:val="single" w:color="c9a227" w:sz="12" w:space="8"/>
          <w:right w:val="single" w:color="c9a227" w:sz="12" w:space="8"/>
        </w:pBdr>
        <w:shd w:fill="f7edcf" w:color="auto" w:val="clear"/>
        <w:spacing w:after="80"/>
        <w:ind w:left="460" w:right="60"/>
      </w:pPr>
      <w:r>
        <w:t xml:space="preserve">5. MA4 and MA5 are both explicitly flagged "the answer is sensitive to this value." Using only Appendix D's real study, do you think the true gap between mailed and unmailed renewal rates is bigger or smaller than the 15 points this case assumes — and what would that do to the case's conclusion?</w:t>
      </w:r>
    </w:p>
    <w:p>
      <w:pPr>
        <w:pBdr>
          <w:left w:val="single" w:color="c9a227" w:sz="12" w:space="8"/>
          <w:right w:val="single" w:color="c9a227" w:sz="12" w:space="8"/>
        </w:pBdr>
        <w:shd w:fill="f7edcf" w:color="auto" w:val="clear"/>
        <w:spacing w:after="100"/>
        <w:ind w:left="60" w:right="60"/>
      </w:pPr>
      <w:r>
        <w:rPr>
          <w:b/>
          <w:bCs/>
        </w:rPr>
        <w:t xml:space="preserve">The Twist.</w:t>
      </w:r>
    </w:p>
    <w:p>
      <w:pPr>
        <w:pBdr>
          <w:left w:val="single" w:color="c9a227" w:sz="12" w:space="8"/>
          <w:right w:val="single" w:color="c9a227" w:sz="12" w:space="8"/>
        </w:pBdr>
        <w:shd w:fill="f7edcf" w:color="auto" w:val="clear"/>
        <w:spacing w:after="100"/>
        <w:ind w:left="60" w:right="60"/>
      </w:pPr>
      <w:r>
        <w:t xml:space="preserve">Order B's $0.00 university cost is a ratio artifact, not proof that nothing is lost. A Hero who reads "free" as an unambiguous win and stops there has not yet confronted Deliverable D6: 287 real students, in this case's own numbers, do not renew on time under Order B who would have under Order A — and each of those students is walking away from thousands of real dollars of aid (Appendix E), money the case's headline per-renewal metric never counts, because it only tracks the university's own spending, not the students'. The twist fires the moment a Hero notices the real question is not "which order is cheaper" but "what does cheaper actually cost."</w:t>
      </w:r>
    </w:p>
    <w:p>
      <w:pPr>
        <w:pBdr>
          <w:left w:val="single" w:color="c9a227" w:sz="12" w:space="8"/>
          <w:right w:val="single" w:color="c9a227" w:sz="12" w:space="8"/>
        </w:pBdr>
        <w:shd w:fill="f7edcf" w:color="auto" w:val="clear"/>
        <w:spacing w:after="100"/>
        <w:ind w:left="60" w:right="60"/>
      </w:pPr>
      <w:r>
        <w:rPr>
          <w:b/>
          <w:bCs/>
        </w:rPr>
        <w:t xml:space="preserve">The Trap.</w:t>
      </w:r>
    </w:p>
    <w:p>
      <w:pPr>
        <w:pBdr>
          <w:left w:val="single" w:color="c9a227" w:sz="12" w:space="8"/>
          <w:right w:val="single" w:color="c9a227" w:sz="12" w:space="8"/>
        </w:pBdr>
        <w:shd w:fill="f7edcf" w:color="auto" w:val="clear"/>
        <w:spacing w:after="100"/>
        <w:ind w:left="60" w:right="60"/>
      </w:pPr>
      <w:r>
        <w:t xml:space="preserve">The obvious, confident wrong move is reading Order B's $0.00 university cost as an unambiguous win and stopping there — "it's free, why would you ever spend money when the free option exists." That reasoning skips straight past the fact that "free" is a ratio artifact, not a statement that nothing is lost. A second, subtler trap: the case's literal primary_metric (dollars spent per renewal) is degenerate for Order B — $0.00 divided by any positive renewal count is always $0.00, regardless of how many students are reached. A Hero who takes that at face value as "infinitely efficient" has mistaken a mathematical artifact for a real efficiency claim. That's exactly why the formal margin is computed on total renewals achieved instead — Socratic Question 1 exists specifically to catch this.</w:t>
      </w:r>
    </w:p>
    <w:p>
      <w:pPr>
        <w:pBdr>
          <w:left w:val="single" w:color="c9a227" w:sz="12" w:space="8"/>
          <w:right w:val="single" w:color="c9a227" w:sz="12" w:space="8"/>
        </w:pBdr>
        <w:shd w:fill="f7edcf" w:color="auto" w:val="clear"/>
        <w:spacing w:after="100"/>
        <w:ind w:left="60" w:right="60"/>
      </w:pPr>
      <w:r>
        <w:rPr>
          <w:b/>
          <w:bCs/>
        </w:rPr>
        <w:t xml:space="preserve">SPEC §6 sensitivity note.</w:t>
      </w:r>
    </w:p>
    <w:p>
      <w:pPr>
        <w:pBdr>
          <w:left w:val="single" w:color="c9a227" w:sz="12" w:space="8"/>
          <w:right w:val="single" w:color="c9a227" w:sz="12" w:space="8"/>
        </w:pBdr>
        <w:shd w:fill="f7edcf" w:color="auto" w:val="clear"/>
        <w:spacing w:after="100"/>
        <w:ind w:left="60" w:right="60"/>
      </w:pPr>
      <w:r>
        <w:t xml:space="preserve">Checked directly against SPEC.md §6. This case is routine administrative/financial-aid outreach math — no illness, death, or family-hardship framing, no protected-subject sensitivity. No facilitator content warning is required.</w:t>
      </w:r>
    </w:p>
    <w:p>
      <w:pPr>
        <w:pBdr>
          <w:left w:val="single" w:color="c9a227" w:sz="12" w:space="8"/>
          <w:right w:val="single" w:color="c9a227" w:sz="12" w:space="8"/>
        </w:pBdr>
        <w:shd w:fill="f7edcf" w:color="auto" w:val="clear"/>
        <w:spacing w:after="100"/>
        <w:ind w:left="60" w:right="60"/>
      </w:pPr>
      <w:r>
        <w:rPr>
          <w:b/>
          <w:bCs/>
        </w:rPr>
        <w:t xml:space="preserve">What a strong defense sounds like.</w:t>
      </w:r>
    </w:p>
    <w:p>
      <w:pPr>
        <w:pBdr>
          <w:left w:val="single" w:color="c9a227" w:sz="12" w:space="8"/>
          <w:right w:val="single" w:color="c9a227" w:sz="12" w:space="8"/>
        </w:pBdr>
        <w:shd w:fill="f7edcf" w:color="auto" w:val="clear"/>
        <w:spacing w:after="100"/>
        <w:ind w:left="60" w:right="60"/>
      </w:pPr>
      <w:r>
        <w:t xml:space="preserve">A strong defense does not simply announce a number and stop. It names the metric it is optimizing (total on-time renewals, not raw dollars or cost-per-renewal) and defends why that metric is the right one for a financial-aid office to care about. It engages honestly with the losing option's real strength — Order B truly does reach 87% of Order A's outcome at zero university cost, and a strong Hero says so plainly rather than dismissing it. It shows the arithmetic (the union-intersection formula, the region-by-region renewal projection, the total-cost table) rather than asserting a conclusion the reader has to take on faith. And it names at least one assumption the whole recommendation leans on — MA3's 80% overlap or MA4/MA5's renewal-rate gap are the two best candidates — and says plainly how much room that assumption has to move before the recommendation would flip. A defense that never mentions a number it isn't sure of is not stronger for the omission; it is hiding the seam.</w:t>
      </w:r>
    </w:p>
    <w:p>
      <w:pPr>
        <w:pBdr>
          <w:left w:val="single" w:color="c9a227" w:sz="12" w:space="8"/>
          <w:right w:val="single" w:color="c9a227" w:sz="12" w:space="8"/>
        </w:pBdr>
        <w:shd w:fill="f7edcf" w:color="auto" w:val="clear"/>
        <w:spacing w:after="100"/>
        <w:ind w:left="60" w:right="60"/>
      </w:pPr>
      <w:r>
        <w:rPr>
          <w:b/>
          <w:bCs/>
        </w:rPr>
        <w:t xml:space="preserve">Skills this case exercises.</w:t>
      </w:r>
    </w:p>
    <w:p>
      <w:pPr>
        <w:pBdr>
          <w:left w:val="single" w:color="c9a227" w:sz="12" w:space="8"/>
          <w:right w:val="single" w:color="c9a227" w:sz="12" w:space="8"/>
        </w:pBdr>
        <w:shd w:fill="f7edcf" w:color="auto" w:val="clear"/>
        <w:spacing w:after="100"/>
        <w:ind w:left="60" w:right="60"/>
      </w:pPr>
      <w:r>
        <w:t xml:space="preserve">Set · Subset · Union · Intersection · Empty Set · Venn Diagram · How to find the union and intersection of two sets · How to represent a set relationship using a Venn diagram.</w:t>
      </w:r>
    </w:p>
    <w:p>
      <w:pPr>
        <w:pBdr>
          <w:bottom w:val="single" w:color="c9a227" w:sz="12" w:space="8"/>
          <w:left w:val="single" w:color="c9a227" w:sz="12" w:space="8"/>
          <w:right w:val="single" w:color="c9a227" w:sz="12" w:space="8"/>
        </w:pBdr>
        <w:shd w:fill="f7edcf" w:color="auto" w:val="clear"/>
        <w:spacing w:after="240"/>
        <w:ind w:left="60" w:right="60"/>
      </w:pPr>
      <w:r>
        <w:t xml:space="preserve"/>
      </w:r>
    </w:p>
    <w:p>
      <w:pPr>
        <w:pStyle w:val="Heading1"/>
        <w:spacing w:after="160" w:before="320"/>
      </w:pPr>
      <w:r>
        <w:t xml:space="preserve">Intro</w:t>
      </w:r>
    </w:p>
    <w:p>
      <w:pPr>
        <w:spacing w:after="160"/>
      </w:pPr>
      <w:r>
        <w:t xml:space="preserve">Frame the format before the numbers: this is a one-shot budget decision with a hard constraint — "You are Deja Whitfield. Two mail-house order forms are sitting on your desk, both filled out, both ready to submit. You can only submit one." Let that land before Launch.</w:t>
      </w:r>
    </w:p>
    <w:p>
      <w:pPr>
        <w:pStyle w:val="Heading1"/>
        <w:spacing w:after="160" w:before="320"/>
      </w:pPr>
      <w:r>
        <w:t xml:space="preserve">Launch</w:t>
      </w:r>
    </w:p>
    <w:p>
      <w:pPr>
        <w:spacing w:after="160"/>
      </w:pPr>
      <w:r>
        <w:t xml:space="preserve">Put the two orders side by side with only the headline tradeoff visible: Order A (mails more students, all on the university's own dime) vs. Order B (mails fewer students, but costs the university $0.00). Ask for a gut read: "Same students needing the same reminder. Which order do you submit?" Do not correct an early answer yet — that instinct is exactly what the case is built to test.</w:t>
      </w:r>
    </w:p>
    <w:p>
      <w:pPr>
        <w:pStyle w:val="Heading1"/>
        <w:spacing w:after="160" w:before="320"/>
      </w:pPr>
      <w:r>
        <w:t xml:space="preserve">Anchor 1 — Take a stand and vote</w:t>
      </w:r>
    </w:p>
    <w:p>
      <w:pPr>
        <w:spacing w:after="120"/>
      </w:pPr>
      <w:r>
        <w:rPr>
          <w:b/>
          <w:bCs/>
        </w:rPr>
        <w:t xml:space="preserve">TAKE A STAND AND VOTE. No reasoning yet, just commit.</w:t>
      </w:r>
    </w:p>
    <w:p>
      <w:pPr>
        <w:spacing w:after="160"/>
      </w:pPr>
      <w:r>
        <w:t xml:space="preserve">"Who's with the free option, Order B?" Show of hands, both options, no discussion. Record the count for the Close re-vote.</w:t>
      </w:r>
    </w:p>
    <w:p>
      <w:pPr>
        <w:pStyle w:val="Heading1"/>
        <w:spacing w:after="160" w:before="320"/>
      </w:pPr>
      <w:r>
        <w:t xml:space="preserve">Anchor 2 — What is the problem we're solving?</w:t>
      </w:r>
    </w:p>
    <w:p>
      <w:pPr>
        <w:spacing w:after="120"/>
      </w:pPr>
      <w:r>
        <w:rPr>
          <w:b/>
          <w:bCs/>
        </w:rPr>
        <w:t xml:space="preserve">"Is this the right question?" · "What does 'better' mean here?"</w:t>
      </w:r>
    </w:p>
    <w:p>
      <w:pPr>
        <w:spacing w:after="160"/>
      </w:pPr>
      <w:r>
        <w:t xml:space="preserve">Let confusion grow here. Heroes will want to just ask which order is cheaper, and stop there. Push: "Deja isn't being asked which order costs less. She's being asked how many real students actually keep their aid." If the room arrives at "we need to compare renewals, not just dollars" on its own, the case is working.</w:t>
      </w:r>
    </w:p>
    <w:p>
      <w:pPr>
        <w:pStyle w:val="Heading1"/>
        <w:spacing w:after="160" w:before="320"/>
      </w:pPr>
      <w:r>
        <w:t xml:space="preserve">Anchor 3 — What is the process?</w:t>
      </w:r>
    </w:p>
    <w:p>
      <w:pPr>
        <w:spacing w:after="120"/>
      </w:pPr>
      <w:r>
        <w:rPr>
          <w:b/>
          <w:bCs/>
        </w:rPr>
        <w:t xml:space="preserve">"If we go through this process and find the data, how will we decide?"</w:t>
      </w:r>
    </w:p>
    <w:p>
      <w:pPr>
        <w:spacing w:after="160"/>
      </w:pPr>
      <w:r>
        <w:t xml:space="preserve">Once the room has the right question, ask them to name the steps before opening Appendix B: build the Venn diagram of the two eligibility sets (D1), confirm the union algebraically (D2), name the empty set under each order (D3), project renewals under both orders using the mailed/unmailed rates (D4), total the university cost of each order (D5), and compare (D6). Re-ask: "Now that we can see the steps — is our question still the right one?"</w:t>
      </w:r>
    </w:p>
    <w:p>
      <w:pPr>
        <w:pStyle w:val="Heading1"/>
        <w:spacing w:after="160" w:before="320"/>
      </w:pPr>
      <w:r>
        <w:t xml:space="preserve">Anchor 4 — What don't we know?</w:t>
      </w:r>
    </w:p>
    <w:p>
      <w:pPr>
        <w:spacing w:after="120"/>
      </w:pPr>
      <w:r>
        <w:rPr>
          <w:b/>
          <w:bCs/>
        </w:rPr>
        <w:t xml:space="preserve">"Do we need to make assumptions? Which ones are critical?"</w:t>
      </w:r>
    </w:p>
    <w:p>
      <w:pPr>
        <w:spacing w:after="160"/>
      </w:pPr>
      <w:r>
        <w:t xml:space="preserve">Surface the Modeling Assumptions block honestly: MA2 (the 18.6% state-eligible share, anchored to California's real statewide Cal Grant ratio), MA3 (the 80% Pell/state overlap, a qualitative estimate — no public overlap statistic exists for any real campus), and MA4/MA5 (the 55%/70% renewal rates, informed by direction and scale from a real reminder-effect study — Appendix D — but not a direct transfer of its numbers, since that study measured a different channel and window). Ask which ones are actually load-bearing for the final recommendation (MA3, MA4, MA5 all are — the case's own Modeling Assumptions table marks each "the answer is sensitive to this value") and which is closer to a fixed scenario constraint (MA1, MA6).</w:t>
      </w:r>
    </w:p>
    <w:p>
      <w:pPr>
        <w:pStyle w:val="Heading1"/>
        <w:spacing w:after="160" w:before="320"/>
      </w:pPr>
      <w:r>
        <w:t xml:space="preserve">Data Deep Dive</w:t>
      </w:r>
    </w:p>
    <w:p>
      <w:pPr>
        <w:spacing w:after="160"/>
      </w:pPr>
      <w:r>
        <w:t xml:space="preserve">Now, and only now, the numbers. Walk D1–D3 as a room (the Venn diagram, the union calculation, and the empty-set argument), then split into two desks for D4 and D5 — one projects renewal counts by region, one builds the total-cost table — before reconvening to compare and for D6's margin.</w:t>
      </w:r>
    </w:p>
    <w:p>
      <w:pPr>
        <w:spacing w:after="100" w:before="120"/>
      </w:pPr>
      <w:r>
        <w:rPr>
          <w:b/>
          <w:bCs/>
        </w:rPr>
        <w:t xml:space="preserve">Facilitator-only arithmetic note.</w:t>
      </w:r>
    </w:p>
    <w:p>
      <w:pPr>
        <w:spacing w:after="160"/>
      </w:pPr>
      <w:r>
        <w:t xml:space="preserve">Order A reaches all 3,250 eligible students (the union) and, under MA4/MA5, projects 2,275 on-time renewals for $1,517.75 of university money. Order B reaches only the 1,336-student intersection and projects 1,988 on-time renewals for $0.00 of university money. The gap: 287 real students renew under A who would not under B. Margin, computed on total renewals achieved: (2,275 − 1,988) / 2,275 = 12.6% (case.json.margin_pct).</w:t>
      </w:r>
    </w:p>
    <w:p>
      <w:pPr>
        <w:pStyle w:val="Heading1"/>
        <w:spacing w:after="160" w:before="320"/>
      </w:pPr>
      <w:r>
        <w:t xml:space="preserve">Twist</w:t>
      </w:r>
    </w:p>
    <w:p>
      <w:pPr>
        <w:spacing w:after="160"/>
      </w:pPr>
      <w:r>
        <w:t xml:space="preserve">Order B's $0.00 university cost is a ratio artifact, not proof that nothing is lost. A Hero who reads "free" as an unambiguous win and stops there has not yet confronted Deliverable D6: 287 real students, in this case's own numbers, do not renew on time under Order B who would have under Order A — and each of those students is walking away from thousands of real dollars of aid (Appendix E), money the case's headline per-renewal metric never counts, because it only tracks the university's own spending, not the students'. The twist fires the moment a Hero notices the real question is not "which order is cheaper" but "what does cheaper actually cost."</w:t>
      </w:r>
    </w:p>
    <w:p>
      <w:pPr>
        <w:pStyle w:val="Heading1"/>
        <w:spacing w:after="160" w:before="320"/>
      </w:pPr>
      <w:r>
        <w:t xml:space="preserve">The Trap</w:t>
      </w:r>
    </w:p>
    <w:p>
      <w:pPr>
        <w:spacing w:after="160"/>
      </w:pPr>
      <w:r>
        <w:t xml:space="preserve">The obvious, confident wrong move is reading Order B's $0.00 university cost as an unambiguous win and stopping there — "it's free, why would you ever spend money when the free option exists." That reasoning skips straight past the fact that "free" is a ratio artifact, not a statement that nothing is lost: 287 real students, in this case's own numbers, do not renew on time under Order B who would have under Order A, and each of those students is walking away from thousands of real dollars of aid (Appendix E) — money the case's headline metric never counts, because it only tracks the university's own spending, not the students'. A Hero who fixates on $0.00 without reading Deliverable D6's total-renewals comparison has found the number, not the answer.</w:t>
      </w:r>
    </w:p>
    <w:p>
      <w:pPr>
        <w:spacing w:after="160"/>
      </w:pPr>
      <w:r>
        <w:t xml:space="preserve">A second, subtler trap: the case's literal primary_metric (dollars spent per renewal) is degenerate for Order B — $0.00 university cost divided by any positive renewal count is always $0.00, regardless of how many students are reached. A Hero who takes that $0.00 at face value as "infinitely efficient" has mistaken a mathematical artifact of dividing by a university-only cost for a real efficiency claim. That's exactly why the case's formal margin_pct is computed on total renewals achieved instead (see case.json's balance.margin_basis field) — Socratic Question 1 exists specifically to catch this.</w:t>
      </w:r>
    </w:p>
    <w:p>
      <w:pPr>
        <w:pStyle w:val="Heading1"/>
        <w:spacing w:after="160" w:before="320"/>
      </w:pPr>
      <w:r>
        <w:t xml:space="preserve">Close</w:t>
      </w:r>
    </w:p>
    <w:p>
      <w:pPr>
        <w:spacing w:after="120"/>
      </w:pPr>
      <w:r>
        <w:rPr>
          <w:b/>
          <w:bCs/>
        </w:rPr>
        <w:t xml:space="preserve">VOTE AGAIN.</w:t>
      </w:r>
    </w:p>
    <w:p>
      <w:pPr>
        <w:spacing w:after="160"/>
      </w:pPr>
      <w:r>
        <w:t xml:space="preserve">"Did we ask the right question at the start?" "What math was new to you tonight, and how did you actually attack it?" A room that voted the same way both times is worth pressing: did they land on Order A for the real reason — 287 real students — or did they just guess right?</w:t>
      </w:r>
    </w:p>
    <w:p>
      <w:pPr>
        <w:pStyle w:val="Heading1"/>
        <w:spacing w:after="160" w:before="320"/>
      </w:pPr>
      <w:r>
        <w:t xml:space="preserve">Deep conflict — two threads (20:00–30:00)</w:t>
      </w:r>
    </w:p>
    <w:p>
      <w:pPr>
        <w:pStyle w:val="ListParagraph"/>
        <w:numPr>
          <w:ilvl w:val="0"/>
          <w:numId w:val="2"/>
        </w:numPr>
        <w:spacing w:after="100"/>
      </w:pPr>
      <w:r>
        <w:t xml:space="preserve">Cost-efficiency vs. total-reach. Order B is free and reaches the highest-overlap group. Is "free and mostly effective" ever the wrong call purely because a cheaper option exists, or does the office have a real obligation to reach every eligible student it can afford to reach?</w:t>
      </w:r>
    </w:p>
    <w:p>
      <w:pPr>
        <w:pStyle w:val="ListParagraph"/>
        <w:numPr>
          <w:ilvl w:val="0"/>
          <w:numId w:val="2"/>
        </w:numPr>
        <w:spacing w:after="100"/>
      </w:pPr>
      <w:r>
        <w:t xml:space="preserve">Discretionary-budget vs. one-time spend. Order A consumes nearly all of the year's $1,600 discretionary budget on this one mailing. Does that change the recommendation even if the renewal numbers stayed exactly the same?</w:t>
      </w:r>
    </w:p>
    <w:p>
      <w:pPr>
        <w:pStyle w:val="Heading1"/>
        <w:spacing w:after="160" w:before="320"/>
      </w:pPr>
      <w:r>
        <w:t xml:space="preserve">45-Minute Socratic Plan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tblHeader/>
        </w:trPr>
        <w:tc>
          <w:tcPr>
            <w:tcW w:type="dxa" w:w="2200"/>
            <w:shd w:fill="1a3a5c" w:color="auto" w:val="clear"/>
            <w:tcMar>
              <w:top w:type="dxa" w:w="60"/>
              <w:left w:type="dxa" w:w="100"/>
              <w:bottom w:type="dxa" w:w="60"/>
              <w:right w:type="dxa" w:w="100"/>
            </w:tcMar>
            <w:vAlign w:val="center"/>
          </w:tcPr>
          <w:p>
            <w:r>
              <w:rPr>
                <w:b/>
                <w:bCs/>
                <w:sz w:val="19"/>
                <w:szCs w:val="19"/>
              </w:rPr>
              <w:t xml:space="preserve">Time</w:t>
            </w:r>
          </w:p>
        </w:tc>
        <w:tc>
          <w:tcPr>
            <w:tcW w:type="dxa" w:w="7880"/>
            <w:shd w:fill="1a3a5c" w:color="auto" w:val="clear"/>
            <w:tcMar>
              <w:top w:type="dxa" w:w="60"/>
              <w:left w:type="dxa" w:w="100"/>
              <w:bottom w:type="dxa" w:w="60"/>
              <w:right w:type="dxa" w:w="100"/>
            </w:tcMar>
            <w:vAlign w:val="center"/>
          </w:tcPr>
          <w:p>
            <w:r>
              <w:rPr>
                <w:b/>
                <w:bCs/>
                <w:sz w:val="19"/>
                <w:szCs w:val="19"/>
              </w:rPr>
              <w:t xml:space="preserve">Move</w:t>
            </w:r>
          </w:p>
        </w:tc>
      </w:tr>
      <w:tr>
        <w:tc>
          <w:tcPr>
            <w:tcW w:type="dxa" w:w="2200"/>
            <w:tcMar>
              <w:top w:type="dxa" w:w="60"/>
              <w:left w:type="dxa" w:w="100"/>
              <w:bottom w:type="dxa" w:w="60"/>
              <w:right w:type="dxa" w:w="100"/>
            </w:tcMar>
            <w:vAlign w:val="center"/>
          </w:tcPr>
          <w:p>
            <w:r>
              <w:rPr>
                <w:b w:val="false"/>
                <w:bCs w:val="false"/>
                <w:sz w:val="19"/>
                <w:szCs w:val="19"/>
              </w:rPr>
              <w:t xml:space="preserve">0:00–3:00</w:t>
            </w:r>
          </w:p>
        </w:tc>
        <w:tc>
          <w:tcPr>
            <w:tcW w:type="dxa" w:w="7880"/>
            <w:tcMar>
              <w:top w:type="dxa" w:w="60"/>
              <w:left w:type="dxa" w:w="100"/>
              <w:bottom w:type="dxa" w:w="60"/>
              <w:right w:type="dxa" w:w="100"/>
            </w:tcMar>
            <w:vAlign w:val="center"/>
          </w:tcPr>
          <w:p>
            <w:r>
              <w:rPr>
                <w:b w:val="false"/>
                <w:bCs w:val="false"/>
                <w:sz w:val="19"/>
                <w:szCs w:val="19"/>
              </w:rPr>
              <w:t xml:space="preserve">Launch — headline tradeoff only, gut-check vote</w:t>
            </w:r>
          </w:p>
        </w:tc>
      </w:tr>
      <w:tr>
        <w:tc>
          <w:tcPr>
            <w:tcW w:type="dxa" w:w="2200"/>
            <w:shd w:fill="F7F9FB" w:color="auto" w:val="clear"/>
            <w:tcMar>
              <w:top w:type="dxa" w:w="60"/>
              <w:left w:type="dxa" w:w="100"/>
              <w:bottom w:type="dxa" w:w="60"/>
              <w:right w:type="dxa" w:w="100"/>
            </w:tcMar>
            <w:vAlign w:val="center"/>
          </w:tcPr>
          <w:p>
            <w:r>
              <w:rPr>
                <w:b w:val="false"/>
                <w:bCs w:val="false"/>
                <w:sz w:val="19"/>
                <w:szCs w:val="19"/>
              </w:rPr>
              <w:t xml:space="preserve">3:00–6:00</w:t>
            </w:r>
          </w:p>
        </w:tc>
        <w:tc>
          <w:tcPr>
            <w:tcW w:type="dxa" w:w="7880"/>
            <w:shd w:fill="F7F9FB" w:color="auto" w:val="clear"/>
            <w:tcMar>
              <w:top w:type="dxa" w:w="60"/>
              <w:left w:type="dxa" w:w="100"/>
              <w:bottom w:type="dxa" w:w="60"/>
              <w:right w:type="dxa" w:w="100"/>
            </w:tcMar>
            <w:vAlign w:val="center"/>
          </w:tcPr>
          <w:p>
            <w:r>
              <w:rPr>
                <w:b w:val="false"/>
                <w:bCs w:val="false"/>
                <w:sz w:val="19"/>
                <w:szCs w:val="19"/>
              </w:rPr>
              <w:t xml:space="preserve">Anchor 1 vote recorded</w:t>
            </w:r>
          </w:p>
        </w:tc>
      </w:tr>
      <w:tr>
        <w:tc>
          <w:tcPr>
            <w:tcW w:type="dxa" w:w="2200"/>
            <w:tcMar>
              <w:top w:type="dxa" w:w="60"/>
              <w:left w:type="dxa" w:w="100"/>
              <w:bottom w:type="dxa" w:w="60"/>
              <w:right w:type="dxa" w:w="100"/>
            </w:tcMar>
            <w:vAlign w:val="center"/>
          </w:tcPr>
          <w:p>
            <w:r>
              <w:rPr>
                <w:b w:val="false"/>
                <w:bCs w:val="false"/>
                <w:sz w:val="19"/>
                <w:szCs w:val="19"/>
              </w:rPr>
              <w:t xml:space="preserve">6:00–9:00</w:t>
            </w:r>
          </w:p>
        </w:tc>
        <w:tc>
          <w:tcPr>
            <w:tcW w:type="dxa" w:w="7880"/>
            <w:tcMar>
              <w:top w:type="dxa" w:w="60"/>
              <w:left w:type="dxa" w:w="100"/>
              <w:bottom w:type="dxa" w:w="60"/>
              <w:right w:type="dxa" w:w="100"/>
            </w:tcMar>
            <w:vAlign w:val="center"/>
          </w:tcPr>
          <w:p>
            <w:r>
              <w:rPr>
                <w:b w:val="false"/>
                <w:bCs w:val="false"/>
                <w:sz w:val="19"/>
                <w:szCs w:val="19"/>
              </w:rPr>
              <w:t xml:space="preserve">Anchor 2 — pressure-tests "better, measured how?"</w:t>
            </w:r>
          </w:p>
        </w:tc>
      </w:tr>
      <w:tr>
        <w:tc>
          <w:tcPr>
            <w:tcW w:type="dxa" w:w="2200"/>
            <w:shd w:fill="F7F9FB" w:color="auto" w:val="clear"/>
            <w:tcMar>
              <w:top w:type="dxa" w:w="60"/>
              <w:left w:type="dxa" w:w="100"/>
              <w:bottom w:type="dxa" w:w="60"/>
              <w:right w:type="dxa" w:w="100"/>
            </w:tcMar>
            <w:vAlign w:val="center"/>
          </w:tcPr>
          <w:p>
            <w:r>
              <w:rPr>
                <w:b w:val="false"/>
                <w:bCs w:val="false"/>
                <w:sz w:val="19"/>
                <w:szCs w:val="19"/>
              </w:rPr>
              <w:t xml:space="preserve">9:00–12:00</w:t>
            </w:r>
          </w:p>
        </w:tc>
        <w:tc>
          <w:tcPr>
            <w:tcW w:type="dxa" w:w="7880"/>
            <w:shd w:fill="F7F9FB" w:color="auto" w:val="clear"/>
            <w:tcMar>
              <w:top w:type="dxa" w:w="60"/>
              <w:left w:type="dxa" w:w="100"/>
              <w:bottom w:type="dxa" w:w="60"/>
              <w:right w:type="dxa" w:w="100"/>
            </w:tcMar>
            <w:vAlign w:val="center"/>
          </w:tcPr>
          <w:p>
            <w:r>
              <w:rPr>
                <w:b w:val="false"/>
                <w:bCs w:val="false"/>
                <w:sz w:val="19"/>
                <w:szCs w:val="19"/>
              </w:rPr>
              <w:t xml:space="preserve">Anchor 3 — name the six-step process before opening Appendix B</w:t>
            </w:r>
          </w:p>
        </w:tc>
      </w:tr>
      <w:tr>
        <w:tc>
          <w:tcPr>
            <w:tcW w:type="dxa" w:w="2200"/>
            <w:tcMar>
              <w:top w:type="dxa" w:w="60"/>
              <w:left w:type="dxa" w:w="100"/>
              <w:bottom w:type="dxa" w:w="60"/>
              <w:right w:type="dxa" w:w="100"/>
            </w:tcMar>
            <w:vAlign w:val="center"/>
          </w:tcPr>
          <w:p>
            <w:r>
              <w:rPr>
                <w:b w:val="false"/>
                <w:bCs w:val="false"/>
                <w:sz w:val="19"/>
                <w:szCs w:val="19"/>
              </w:rPr>
              <w:t xml:space="preserve">12:00–15:00</w:t>
            </w:r>
          </w:p>
        </w:tc>
        <w:tc>
          <w:tcPr>
            <w:tcW w:type="dxa" w:w="7880"/>
            <w:tcMar>
              <w:top w:type="dxa" w:w="60"/>
              <w:left w:type="dxa" w:w="100"/>
              <w:bottom w:type="dxa" w:w="60"/>
              <w:right w:type="dxa" w:w="100"/>
            </w:tcMar>
            <w:vAlign w:val="center"/>
          </w:tcPr>
          <w:p>
            <w:r>
              <w:rPr>
                <w:b w:val="false"/>
                <w:bCs w:val="false"/>
                <w:sz w:val="19"/>
                <w:szCs w:val="19"/>
              </w:rPr>
              <w:t xml:space="preserve">Anchor 4 — surface MA2–MA5, ask which are load-bearing for the recommendation</w:t>
            </w:r>
          </w:p>
        </w:tc>
      </w:tr>
      <w:tr>
        <w:tc>
          <w:tcPr>
            <w:tcW w:type="dxa" w:w="2200"/>
            <w:shd w:fill="F7F9FB" w:color="auto" w:val="clear"/>
            <w:tcMar>
              <w:top w:type="dxa" w:w="60"/>
              <w:left w:type="dxa" w:w="100"/>
              <w:bottom w:type="dxa" w:w="60"/>
              <w:right w:type="dxa" w:w="100"/>
            </w:tcMar>
            <w:vAlign w:val="center"/>
          </w:tcPr>
          <w:p>
            <w:r>
              <w:rPr>
                <w:b w:val="false"/>
                <w:bCs w:val="false"/>
                <w:sz w:val="19"/>
                <w:szCs w:val="19"/>
              </w:rPr>
              <w:t xml:space="preserve">~15:00</w:t>
            </w:r>
          </w:p>
        </w:tc>
        <w:tc>
          <w:tcPr>
            <w:tcW w:type="dxa" w:w="7880"/>
            <w:shd w:fill="F7F9FB" w:color="auto" w:val="clear"/>
            <w:tcMar>
              <w:top w:type="dxa" w:w="60"/>
              <w:left w:type="dxa" w:w="100"/>
              <w:bottom w:type="dxa" w:w="60"/>
              <w:right w:type="dxa" w:w="100"/>
            </w:tcMar>
            <w:vAlign w:val="center"/>
          </w:tcPr>
          <w:p>
            <w:r>
              <w:rPr>
                <w:b w:val="false"/>
                <w:bCs w:val="false"/>
                <w:sz w:val="19"/>
                <w:szCs w:val="19"/>
              </w:rPr>
              <w:t xml:space="preserve">TWIST drops — Order B's $0.00 cost vs. the students who don't renew</w:t>
            </w:r>
          </w:p>
        </w:tc>
      </w:tr>
      <w:tr>
        <w:tc>
          <w:tcPr>
            <w:tcW w:type="dxa" w:w="2200"/>
            <w:tcMar>
              <w:top w:type="dxa" w:w="60"/>
              <w:left w:type="dxa" w:w="100"/>
              <w:bottom w:type="dxa" w:w="60"/>
              <w:right w:type="dxa" w:w="100"/>
            </w:tcMar>
            <w:vAlign w:val="center"/>
          </w:tcPr>
          <w:p>
            <w:r>
              <w:rPr>
                <w:b w:val="false"/>
                <w:bCs w:val="false"/>
                <w:sz w:val="19"/>
                <w:szCs w:val="19"/>
              </w:rPr>
              <w:t xml:space="preserve">15:00–20:00</w:t>
            </w:r>
          </w:p>
        </w:tc>
        <w:tc>
          <w:tcPr>
            <w:tcW w:type="dxa" w:w="7880"/>
            <w:tcMar>
              <w:top w:type="dxa" w:w="60"/>
              <w:left w:type="dxa" w:w="100"/>
              <w:bottom w:type="dxa" w:w="60"/>
              <w:right w:type="dxa" w:w="100"/>
            </w:tcMar>
            <w:vAlign w:val="center"/>
          </w:tcPr>
          <w:p>
            <w:r>
              <w:rPr>
                <w:b w:val="false"/>
                <w:bCs w:val="false"/>
                <w:sz w:val="19"/>
                <w:szCs w:val="19"/>
              </w:rPr>
              <w:t xml:space="preserve">Data Deep Dive — D1–D3 worked as a room</w:t>
            </w:r>
          </w:p>
        </w:tc>
      </w:tr>
      <w:tr>
        <w:tc>
          <w:tcPr>
            <w:tcW w:type="dxa" w:w="2200"/>
            <w:shd w:fill="F7F9FB" w:color="auto" w:val="clear"/>
            <w:tcMar>
              <w:top w:type="dxa" w:w="60"/>
              <w:left w:type="dxa" w:w="100"/>
              <w:bottom w:type="dxa" w:w="60"/>
              <w:right w:type="dxa" w:w="100"/>
            </w:tcMar>
            <w:vAlign w:val="center"/>
          </w:tcPr>
          <w:p>
            <w:r>
              <w:rPr>
                <w:b w:val="false"/>
                <w:bCs w:val="false"/>
                <w:sz w:val="19"/>
                <w:szCs w:val="19"/>
              </w:rPr>
              <w:t xml:space="preserve">20:00–30:00</w:t>
            </w:r>
          </w:p>
        </w:tc>
        <w:tc>
          <w:tcPr>
            <w:tcW w:type="dxa" w:w="7880"/>
            <w:shd w:fill="F7F9FB" w:color="auto" w:val="clear"/>
            <w:tcMar>
              <w:top w:type="dxa" w:w="60"/>
              <w:left w:type="dxa" w:w="100"/>
              <w:bottom w:type="dxa" w:w="60"/>
              <w:right w:type="dxa" w:w="100"/>
            </w:tcMar>
            <w:vAlign w:val="center"/>
          </w:tcPr>
          <w:p>
            <w:r>
              <w:rPr>
                <w:b w:val="false"/>
                <w:bCs w:val="false"/>
                <w:sz w:val="19"/>
                <w:szCs w:val="19"/>
              </w:rPr>
              <w:t xml:space="preserve">Deep conflict — two threads (cost-efficiency vs. total-reach; discretionary budget vs. one-time spend)</w:t>
            </w:r>
          </w:p>
        </w:tc>
      </w:tr>
      <w:tr>
        <w:tc>
          <w:tcPr>
            <w:tcW w:type="dxa" w:w="2200"/>
            <w:tcMar>
              <w:top w:type="dxa" w:w="60"/>
              <w:left w:type="dxa" w:w="100"/>
              <w:bottom w:type="dxa" w:w="60"/>
              <w:right w:type="dxa" w:w="100"/>
            </w:tcMar>
            <w:vAlign w:val="center"/>
          </w:tcPr>
          <w:p>
            <w:r>
              <w:rPr>
                <w:b w:val="false"/>
                <w:bCs w:val="false"/>
                <w:sz w:val="19"/>
                <w:szCs w:val="19"/>
              </w:rPr>
              <w:t xml:space="preserve">30:00–40:00</w:t>
            </w:r>
          </w:p>
        </w:tc>
        <w:tc>
          <w:tcPr>
            <w:tcW w:type="dxa" w:w="7880"/>
            <w:tcMar>
              <w:top w:type="dxa" w:w="60"/>
              <w:left w:type="dxa" w:w="100"/>
              <w:bottom w:type="dxa" w:w="60"/>
              <w:right w:type="dxa" w:w="100"/>
            </w:tcMar>
            <w:vAlign w:val="center"/>
          </w:tcPr>
          <w:p>
            <w:r>
              <w:rPr>
                <w:b w:val="false"/>
                <w:bCs w:val="false"/>
                <w:sz w:val="19"/>
                <w:szCs w:val="19"/>
              </w:rPr>
              <w:t xml:space="preserve">Data Deep Dive continued — D4–D6 in two desks, reconvene for the shared comparison</w:t>
            </w:r>
          </w:p>
        </w:tc>
      </w:tr>
      <w:tr>
        <w:tc>
          <w:tcPr>
            <w:tcW w:type="dxa" w:w="2200"/>
            <w:shd w:fill="F7F9FB" w:color="auto" w:val="clear"/>
            <w:tcMar>
              <w:top w:type="dxa" w:w="60"/>
              <w:left w:type="dxa" w:w="100"/>
              <w:bottom w:type="dxa" w:w="60"/>
              <w:right w:type="dxa" w:w="100"/>
            </w:tcMar>
            <w:vAlign w:val="center"/>
          </w:tcPr>
          <w:p>
            <w:r>
              <w:rPr>
                <w:b w:val="false"/>
                <w:bCs w:val="false"/>
                <w:sz w:val="19"/>
                <w:szCs w:val="19"/>
              </w:rPr>
              <w:t xml:space="preserve">40:00–45:00</w:t>
            </w:r>
          </w:p>
        </w:tc>
        <w:tc>
          <w:tcPr>
            <w:tcW w:type="dxa" w:w="7880"/>
            <w:shd w:fill="F7F9FB" w:color="auto" w:val="clear"/>
            <w:tcMar>
              <w:top w:type="dxa" w:w="60"/>
              <w:left w:type="dxa" w:w="100"/>
              <w:bottom w:type="dxa" w:w="60"/>
              <w:right w:type="dxa" w:w="100"/>
            </w:tcMar>
            <w:vAlign w:val="center"/>
          </w:tcPr>
          <w:p>
            <w:r>
              <w:rPr>
                <w:b w:val="false"/>
                <w:bCs w:val="false"/>
                <w:sz w:val="19"/>
                <w:szCs w:val="19"/>
              </w:rPr>
              <w:t xml:space="preserve">Close, re-vote, reflection, lessons learned</w:t>
            </w:r>
          </w:p>
        </w:tc>
      </w:tr>
    </w:tbl>
    <w:p>
      <w:pPr>
        <w:spacing w:after="200"/>
      </w:pPr>
    </w:p>
    <w:p>
      <w:pPr>
        <w:pStyle w:val="Heading1"/>
        <w:spacing w:after="160" w:before="320"/>
      </w:pPr>
      <w:r>
        <w:t xml:space="preserve">Socratic Questions</w:t>
      </w:r>
    </w:p>
    <w:p>
      <w:pPr>
        <w:pStyle w:val="ListParagraph"/>
        <w:numPr>
          <w:ilvl w:val="0"/>
          <w:numId w:val="2"/>
        </w:numPr>
        <w:spacing w:after="100"/>
      </w:pPr>
      <w:r>
        <w:t xml:space="preserve">Order B's cost-per-renewal is $0.00 and Order A's is about $0.67. If cost-per-renewal is the only thing that matters, does the discussion even need to happen — and if it isn't the only thing that matters, what did we leave out of that number?</w:t>
      </w:r>
    </w:p>
    <w:p>
      <w:pPr>
        <w:pStyle w:val="ListParagraph"/>
        <w:numPr>
          <w:ilvl w:val="0"/>
          <w:numId w:val="2"/>
        </w:numPr>
        <w:spacing w:after="100"/>
      </w:pPr>
      <w:r>
        <w:t xml:space="preserve">Deliverable D3 asks you to name the empty set under each order. Under Order A, which set is empty — and what does it mean, in plain language, that a set of people can be empty?</w:t>
      </w:r>
    </w:p>
    <w:p>
      <w:pPr>
        <w:pStyle w:val="ListParagraph"/>
        <w:numPr>
          <w:ilvl w:val="0"/>
          <w:numId w:val="2"/>
        </w:numPr>
        <w:spacing w:after="100"/>
      </w:pPr>
      <w:r>
        <w:t xml:space="preserve">If Modeling Assumption MA3 (the 80% overlap) were wrong — if the real overlap were meaningfully smaller than 80% — which counts in your Venn diagram change, and which stay fixed?</w:t>
      </w:r>
    </w:p>
    <w:p>
      <w:pPr>
        <w:pStyle w:val="ListParagraph"/>
        <w:numPr>
          <w:ilvl w:val="0"/>
          <w:numId w:val="2"/>
        </w:numPr>
        <w:spacing w:after="100"/>
      </w:pPr>
      <w:r>
        <w:t xml:space="preserve">Cascade State's discretionary mailing budget is $1,600 for the whole year, not just this one mailing. What does Order A do to the office's ability to fund anything else this year, and does that change your recommendation even if the renewal numbers stayed exactly the same?</w:t>
      </w:r>
    </w:p>
    <w:p>
      <w:pPr>
        <w:pStyle w:val="ListParagraph"/>
        <w:numPr>
          <w:ilvl w:val="0"/>
          <w:numId w:val="2"/>
        </w:numPr>
        <w:spacing w:after="100"/>
      </w:pPr>
      <w:r>
        <w:t xml:space="preserve">MA4 and MA5 are both explicitly flagged "the answer is sensitive to this value." Using only Appendix D's real study, do you think the true gap between mailed and unmailed renewal rates is bigger or smaller than the 15 points this case assumes — and what would that do to the case's conclusion?</w:t>
      </w:r>
    </w:p>
    <w:p>
      <w:pPr>
        <w:pStyle w:val="Heading1"/>
        <w:spacing w:after="160" w:before="320"/>
      </w:pPr>
      <w:r>
        <w:t xml:space="preserve">Lessons Learned</w:t>
      </w:r>
    </w:p>
    <w:p>
      <w:pPr>
        <w:spacing w:after="140"/>
      </w:pPr>
      <w:r>
        <w:rPr>
          <w:i/>
          <w:iCs/>
        </w:rPr>
        <w:t xml:space="preserve">(To be filled after the first real run — placeholder structure only.)</w:t>
      </w:r>
    </w:p>
    <w:p>
      <w:pPr>
        <w:pStyle w:val="ListParagraph"/>
        <w:numPr>
          <w:ilvl w:val="0"/>
          <w:numId w:val="2"/>
        </w:numPr>
        <w:spacing w:after="100"/>
      </w:pPr>
      <w:r>
        <w:t xml:space="preserve">Whether Heroes reached for the $0.00 cost-per-renewal comparison first, and how much nudging it took to get to the student gap in D4/D6.</w:t>
      </w:r>
    </w:p>
    <w:p>
      <w:pPr>
        <w:pStyle w:val="ListParagraph"/>
        <w:numPr>
          <w:ilvl w:val="0"/>
          <w:numId w:val="2"/>
        </w:numPr>
        <w:spacing w:after="100"/>
      </w:pPr>
      <w:r>
        <w:t xml:space="preserve">Whether the empty-set argument (D3) was treated as a real check on the two orders or as a box to tick before D4.</w:t>
      </w:r>
    </w:p>
    <w:p>
      <w:pPr>
        <w:pStyle w:val="ListParagraph"/>
        <w:numPr>
          <w:ilvl w:val="0"/>
          <w:numId w:val="2"/>
        </w:numPr>
        <w:spacing w:after="100"/>
      </w:pPr>
      <w:r>
        <w:t xml:space="preserve">Whether the discretionary-budget tension (Order A eating nearly all of the year's $1,600) came up on its own or needed a direct hint.</w:t>
      </w:r>
    </w:p>
    <w:p>
      <w:pPr>
        <w:pStyle w:val="Heading1"/>
        <w:spacing w:after="160" w:before="320"/>
      </w:pPr>
      <w:r>
        <w:t xml:space="preserve">Standards Touched On</w:t>
      </w:r>
    </w:p>
    <w:p>
      <w:pPr>
        <w:spacing w:after="160"/>
      </w:pPr>
      <w:r>
        <w:t xml:space="preserve">Set · Subset · Union · Intersection · Empty Set · Venn Diagram · How to find the union and intersection of two sets · How to represent a set relationship using a Venn diagram</w:t>
      </w:r>
    </w:p>
    <w:p>
      <w:pPr>
        <w:pStyle w:val="Heading1"/>
        <w:spacing w:after="160" w:before="320"/>
      </w:pPr>
      <w:r>
        <w:t xml:space="preserve">Facilitator Note — Margin Stability (Tier 2 P5)</w:t>
      </w:r>
    </w:p>
    <w:p>
      <w:pPr>
        <w:spacing w:after="160"/>
      </w:pPr>
      <w:r>
        <w:t xml:space="preserve">The recommendation is not stable under every stated assumption's plausible range. Flexing MA4 (the no-reminder rate) up 50% or MA5 (the with-reminder rate) down 50% both flip the winner to Order B, and several other flexes on MA2/MA3/MA4/MA5 push the margin past SPEC §2's 20% cap without flipping the winner. See case.json.sensitivity_disclosure[] (all Category F — genuinely irreducible unknowns, not proprietary data someone forgot to look up: no public dataset measures Cascade State's own renewal-rate lift from a mailed reminder specifically). This is disclosed, not hidden, and it is not new information — the Modeling Assumptions table itself already flags MA2 through MA5 "the answer is sensitive to this value." If a Hero treats the 12.6% margin as rock-solid, Anchor 4 exists specifically to surface this before the numbers are worked: ask which assumption the recommendation would flip under, and how far it would have to move.</w:t>
      </w:r>
    </w:p>
    <w:p>
      <w:pPr>
        <w:pStyle w:val="Heading1"/>
        <w:spacing w:after="160" w:before="320"/>
      </w:pPr>
      <w:r>
        <w:t xml:space="preserve">Sensitivity Note (SPEC §6)</w:t>
      </w:r>
    </w:p>
    <w:p>
      <w:pPr>
        <w:spacing w:after="160"/>
      </w:pPr>
      <w:r>
        <w:t xml:space="preserve">Checked directly against SPEC.md §6. This case is routine administrative/financial-aid outreach math — no illness, death, or family-hardship framing, no protected-subject sensitivity. No facilitator content warning is required.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2026-08-24T04:58:12.125Z</dcterms:created>
  <dcterms:modified xsi:type="dcterms:W3CDTF">2026-08-24T04:58:12.129Z</dcterms:modified>
</cp:coreProperties>
</file>

<file path=docProps/custom.xml><?xml version="1.0" encoding="utf-8"?>
<Properties xmlns="http://schemas.openxmlformats.org/officeDocument/2006/custom-properties" xmlns:vt="http://schemas.openxmlformats.org/officeDocument/2006/docPropsVTypes"/>
</file>