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32"/>
          <w:szCs w:val="32"/>
        </w:rPr>
        <w:t xml:space="preserve">Case Study: FlowState</w:t>
      </w:r>
    </w:p>
    <w:p>
      <w:pPr>
        <w:spacing w:after="240"/>
        <w:jc w:val="center"/>
      </w:pPr>
      <w:r>
        <w:rPr>
          <w:i/>
          <w:iCs/>
          <w:sz w:val="22"/>
          <w:szCs w:val="22"/>
        </w:rPr>
        <w:t xml:space="preserve">MS | Math | Case Study | 2026-27 | Launchpad</w:t>
      </w:r>
    </w:p>
    <w:p>
      <w:pPr>
        <w:pStyle w:val="Heading2"/>
        <w:spacing w:after="120" w:before="240"/>
      </w:pPr>
      <w:r>
        <w:t xml:space="preserve">Overview</w:t>
      </w:r>
    </w:p>
    <w:p>
      <w:r>
        <w:t xml:space="preserve">Priya Nakamura is standing in the loading dock at 6:15 in the morning, watching a forklift lower the last crate of FlowState demo units onto a truck bound for the convention center, when her phone buzzes with the subject line she's been dreading: "Board call moved up — need your channel plan by end of day."</w:t>
      </w:r>
    </w:p>
    <w:p>
      <w:r>
        <w:t xml:space="preserve">She should feel good. The bottle works. The cartridge clicks in, reads the wearer's fitness tracker over Bluetooth, and doses the electrolyte-and-flavor mix before anyone even feels thirsty. Investors love the demo. What she doesn't have yet is a launch.</w:t>
      </w:r>
    </w:p>
    <w:p>
      <w:r>
        <w:t xml:space="preserve">Two folders sit on the passenger seat of her car, each one a complete media plan against the same fixed advertising budget, each one already approved and ready to submit. One leans hard into television and radio — loud, broad, hard to miss. The other leans into search and a single fitness-magazine placement — narrower, but aimed at people already looking for exactly this. Solstice Labs gets one shot at the trade show, and one number on the board slide afterward: how many of the people they reached actually became paying subscribers.</w:t>
      </w:r>
    </w:p>
    <w:p>
      <w:r>
        <w:t xml:space="preserve">Her manufacturing lead taps on the car window. The truck is loaded and pulling out. The board call is in nine hours.</w:t>
      </w:r>
    </w:p>
    <w:p>
      <w:r>
        <w:t xml:space="preserve">Priya picks up both folders, one in each hand, and does not open either one yet.</w:t>
      </w:r>
    </w:p>
    <w:p>
      <w:pPr>
        <w:pStyle w:val="Heading2"/>
        <w:spacing w:after="120" w:before="240"/>
      </w:pPr>
      <w:r>
        <w:t xml:space="preserve">Background</w:t>
      </w:r>
    </w:p>
    <w:p>
      <w:r>
        <w:t xml:space="preserve">Priya Nakamura is the VP of Marketing at Solstice Labs, a small consumer-hardware startup. She is personally accountable to the board for the result of Solstice Labs' first product launch: FlowState, a reusable smart bottle whose snap-in cartridge automatically doses electrolytes and flavor based on the wearer's paired fitness-tracker activity and sweat-rate data, rather than a fixed pre-mixed recipe. The company's pitch is simple — "the first bottle that adjusts your hydration mix to what your body is actually doing" — and Priya's job is to turn a fixed launch budget into as many </w:t>
      </w:r>
      <w:r>
        <w:rPr>
          <w:i/>
          <w:iCs/>
        </w:rPr>
        <w:t xml:space="preserve">paying</w:t>
      </w:r>
      <w:r>
        <w:t xml:space="preserve"> subscribers as it can buy.</w:t>
      </w:r>
    </w:p>
    <w:p>
      <w:r>
        <w:t xml:space="preserve">Before launch, Solstice Labs ran a pre-launch survey and pilot that measured an AIDA-style conversion funnel — awareness, interest, trial, and paid adoption — across two population segments the company is targeting: </w:t>
      </w:r>
      <w:r>
        <w:rPr>
          <w:b/>
          <w:bCs/>
        </w:rPr>
        <w:t xml:space="preserve">Segment 1, student athletes ages 13–22</w:t>
      </w:r>
      <w:r>
        <w:t xml:space="preserve">, and </w:t>
      </w:r>
      <w:r>
        <w:rPr>
          <w:b/>
          <w:bCs/>
        </w:rPr>
        <w:t xml:space="preserve">Segment 2, working professionals ages 25–45</w:t>
      </w:r>
      <w:r>
        <w:t xml:space="preserve"> (SEE APPENDIX B). Five advertising channels are available for the launch, each with a real, researched cost benchmark and its own demographic skew: SEO/paid search, a sports/fitness-focused cable TV package, a general daytime/primetime broadcast TV package, drive-time radio, and a full-page placement in a health/fitness magazine (SEE APPENDIX A).</w:t>
      </w:r>
    </w:p>
    <w:p>
      <w:r>
        <w:t xml:space="preserve">Priya's team has pre-built exactly two allocation plans against Solstice Labs' fixed launch advertising budget (SEE APPENDIX C), and she must submit exactly one to the board before the trade-show deadline. </w:t>
      </w:r>
      <w:r>
        <w:rPr>
          <w:b/>
          <w:bCs/>
        </w:rPr>
        <w:t xml:space="preserve">The Broadcast Blitz</w:t>
      </w:r>
      <w:r>
        <w:t xml:space="preserve"> puts the majority of the budget into the two TV packages and radio — mass reach, broad demographics, a channel mix built for raw awareness. </w:t>
      </w:r>
      <w:r>
        <w:rPr>
          <w:b/>
          <w:bCs/>
        </w:rPr>
        <w:t xml:space="preserve">The Precision Funnel</w:t>
      </w:r>
      <w:r>
        <w:t xml:space="preserve"> puts the majority of the budget into SEO and the magazine placement — narrower reach, aimed at an audience that is already looking for a product like this one. Whichever plan Priya submits governs the entire launch budget; there is no blended plan and no second submission once the trade-show window closes.</w:t>
      </w:r>
    </w:p>
    <w:p>
      <w:r>
        <w:t xml:space="preserve">The funnel conversion rates that translate a channel's audience into paying subscribers are documented in Appendix D, along with a note on which of those rates come from real published industry benchmarks and which are modeling assumptions specific to Solstice Labs' own product and pilot (SEE APPENDIX E for the full assumption list, each with its basis). Every sourced figure in this case is documented in Appendix F. The vocabulary and "how to…" skills this case will ask of you are listed in Appendix G — that is where Challenge 1 sends you.</w:t>
      </w:r>
    </w:p>
    <w:p>
      <w:r>
        <w:t xml:space="preserve">She has to submit one form.</w:t>
      </w:r>
    </w:p>
    <w:p>
      <w:pPr>
        <w:pStyle w:val="Heading2"/>
        <w:spacing w:after="120" w:before="240"/>
      </w:pPr>
      <w:r>
        <w:t xml:space="preserve">Dilemma</w:t>
      </w:r>
    </w:p>
    <w:p>
      <w:r>
        <w:t xml:space="preserve">You are Priya Nakamura.</w:t>
      </w:r>
    </w:p>
    <w:p>
      <w:r>
        <w:t xml:space="preserve">Do you:</w:t>
      </w:r>
    </w:p>
    <w:p>
      <w:r>
        <w:rPr>
          <w:b/>
          <w:bCs/>
        </w:rPr>
        <w:t xml:space="preserve">A.)</w:t>
      </w:r>
      <w:r>
        <w:t xml:space="preserve"> Submit The Broadcast Blitz — the plan that puts the majority of the budget into the two TV packages and drive-time radio </w:t>
      </w:r>
      <w:r>
        <w:rPr>
          <w:b/>
          <w:bCs/>
        </w:rPr>
        <w:t xml:space="preserve">OR</w:t>
      </w:r>
    </w:p>
    <w:p>
      <w:r>
        <w:rPr>
          <w:b/>
          <w:bCs/>
        </w:rPr>
        <w:t xml:space="preserve">B.)</w:t>
      </w:r>
      <w:r>
        <w:t xml:space="preserve"> Submit The Precision Funnel — the plan that puts the majority of the budget into SEO/paid search and the magazine placement</w:t>
      </w:r>
    </w:p>
    <w:p>
      <w:pPr>
        <w:pStyle w:val="Heading2"/>
        <w:spacing w:after="120" w:before="240"/>
      </w:pPr>
      <w:r>
        <w:t xml:space="preserve">Challenges</w:t>
      </w:r>
    </w:p>
    <w:p>
      <w:r>
        <w:t xml:space="preserve">1.) Research and find an online resource that answers one of the "how to…" questions from the case study launch. Post a link to the resource as your submission.</w:t>
      </w:r>
    </w:p>
    <w:p>
      <w:r>
        <w:t xml:space="preserve">2.) Post 250 or more "excellent" words pitching a firm stance to your audience on which you would choose and why. Your pitch must include:     a.) Use of the "how to…" resource you researched in Challenge 1.     b.) At least one original visual display of the data.</w:t>
      </w:r>
    </w:p>
    <w:p>
      <w:r>
        <w:t xml:space="preserve">3.) Your pitch must include:</w:t>
      </w:r>
    </w:p>
    <w:p>
      <w:pPr>
        <w:ind w:left="360"/>
      </w:pPr>
      <w:r>
        <w:t xml:space="preserve">- </w:t>
      </w:r>
      <w:r>
        <w:rPr>
          <w:b/>
          <w:bCs/>
        </w:rPr>
        <w:t xml:space="preserve">D1 — A segmented funnel table</w:t>
      </w:r>
      <w:r>
        <w:t xml:space="preserve"> for </w:t>
      </w:r>
      <w:r>
        <w:rPr>
          <w:i/>
          <w:iCs/>
        </w:rPr>
        <w:t xml:space="preserve">both</w:t>
      </w:r>
      <w:r>
        <w:t xml:space="preserve"> plans: for every channel and every segment, chain the percentages together — audience reached, times the segment's share of that audience, times the awareness rate, times the interest-given-awareness rate, times the trial-given-interest rate, times the adoption-given-trial rate — down to a projected number of paying subscribers. Show every intermediate percent step; do not skip from reach straight to subscribers. </w:t>
      </w:r>
      <w:r>
        <w:rPr>
          <w:b/>
          <w:bCs/>
        </w:rPr>
        <w:t xml:space="preserve">Appendix D does not give you an awareness rate or an interest rate for the print/magazine channel.</w:t>
      </w:r>
      <w:r>
        <w:t xml:space="preserve"> State and justify your own values for those two rates before you can finish this table, using the same real ad-effectiveness reasoning Appendix F uses to justify the other channels' rates. Say explicitly what you assumed and why.</w:t>
      </w:r>
    </w:p>
    <w:p>
      <w:pPr>
        <w:ind w:left="360"/>
      </w:pPr>
      <w:r>
        <w:t xml:space="preserve">- </w:t>
      </w:r>
      <w:r>
        <w:rPr>
          <w:b/>
          <w:bCs/>
        </w:rPr>
        <w:t xml:space="preserve">D2 — A reach-per-dollar and cost-per-acquisition table</w:t>
      </w:r>
      <w:r>
        <w:t xml:space="preserve"> for every channel in both plans: how many people does a dollar reach in each channel, and once you have D1's subscriber totals, what does each plan actually pay per paying subscriber it acquires?</w:t>
      </w:r>
    </w:p>
    <w:p>
      <w:pPr>
        <w:ind w:left="360"/>
      </w:pPr>
      <w:r>
        <w:t xml:space="preserve">- </w:t>
      </w:r>
      <w:r>
        <w:rPr>
          <w:b/>
          <w:bCs/>
        </w:rPr>
        <w:t xml:space="preserve">D3 — A weighted-total comparison</w:t>
      </w:r>
      <w:r>
        <w:t xml:space="preserve">: the total projected paying subscribers for Plan A and for Plan B, found by summing D1's channel-by-segment results, and the percent margin between them.</w:t>
      </w:r>
    </w:p>
    <w:p>
      <w:pPr>
        <w:ind w:left="360"/>
      </w:pPr>
      <w:r>
        <w:t xml:space="preserve">- </w:t>
      </w:r>
      <w:r>
        <w:rPr>
          <w:b/>
          <w:bCs/>
        </w:rPr>
        <w:t xml:space="preserve">D4 — A budget-shift system of equations.</w:t>
      </w:r>
      <w:r>
        <w:t xml:space="preserve"> Group the five channels into two buckets: a </w:t>
      </w:r>
      <w:r>
        <w:rPr>
          <w:b/>
          <w:bCs/>
        </w:rPr>
        <w:t xml:space="preserve">broadcast-leaning bucket</w:t>
      </w:r>
      <w:r>
        <w:t xml:space="preserve"> (the two TV packages plus radio) and a </w:t>
      </w:r>
      <w:r>
        <w:rPr>
          <w:b/>
          <w:bCs/>
        </w:rPr>
        <w:t xml:space="preserve">precision-leaning bucket</w:t>
      </w:r>
      <w:r>
        <w:t xml:space="preserve"> (SEO plus print). Using the per-dollar subscriber yield of each bucket (which you can compute from D1–D3), set up a system of two linear equations — one stating that broadcast-bucket dollars plus precision-bucket dollars equal the fixed total budget, one stating the total subscribers as a function of how the budget is split between the two buckets — and solve the system to find the exact dollar split that would make the two plans produce the </w:t>
      </w:r>
      <w:r>
        <w:rPr>
          <w:i/>
          <w:iCs/>
        </w:rPr>
        <w:t xml:space="preserve">same</w:t>
      </w:r>
      <w:r>
        <w:t xml:space="preserve"> number of subscribers. Show your work algebraically, not just by guess-and-check.</w:t>
      </w:r>
    </w:p>
    <w:p>
      <w:pPr>
        <w:ind w:left="360"/>
      </w:pPr>
      <w:r>
        <w:t xml:space="preserve">- </w:t>
      </w:r>
      <w:r>
        <w:rPr>
          <w:b/>
          <w:bCs/>
        </w:rPr>
        <w:t xml:space="preserve">D5 — A one-paragraph written recommendation</w:t>
      </w:r>
      <w:r>
        <w:t xml:space="preserve"> that names which plan you are submitting, states the reach-per-dollar and cost-per-acquisition case for it from D2, and explicitly addresses how many dollars of reallocation (from D4) it would take to flip your recommendation — and whether you think that reallocation is realistic.</w:t>
      </w:r>
    </w:p>
    <w:p>
      <w:r>
        <w:t xml:space="preserve">4.) An appendix showing evidence of your original thinking, work, calculations and processes you used to complete the challenges (pictures, screenshots, notes, etc.). Your work in the appendix does not count toward your word count.</w:t>
      </w:r>
    </w:p>
    <w:p>
      <w:r>
        <w:t xml:space="preserve">5.) Participate twice or more in the Case Study discussion. *If you are absent the day of a discussion post 500 "excellent" words on the questions above.</w:t>
      </w:r>
    </w:p>
    <w:p>
      <w:pPr>
        <w:pStyle w:val="Heading2"/>
        <w:spacing w:after="120" w:before="240"/>
      </w:pPr>
      <w:r>
        <w:t xml:space="preserve">Appendix A — Channel Cost Benchmarks</w:t>
      </w:r>
    </w:p>
    <w:p>
      <w:r>
        <w:t xml:space="preserve">Referenced in Background and Challenge 3 (D1, D2). All figures are real, published benchmarks for the relevant channel type — none of these five figures is a Solstice Labs–specific assumption.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shd w:fill="DDDDDD" w:val="clear"/>
          </w:tcPr>
          <w:p>
            <w:r>
              <w:t xml:space="preserve">Channel</w:t>
            </w:r>
          </w:p>
        </w:tc>
        <w:tc>
          <w:tcPr>
            <w:tcW w:type="dxa" w:w="2250"/>
            <w:shd w:fill="DDDDDD" w:val="clear"/>
          </w:tcPr>
          <w:p>
            <w:r>
              <w:t xml:space="preserve">Cost benchmark</w:t>
            </w:r>
          </w:p>
        </w:tc>
        <w:tc>
          <w:tcPr>
            <w:tcW w:type="dxa" w:w="2250"/>
            <w:shd w:fill="DDDDDD" w:val="clear"/>
          </w:tcPr>
          <w:p>
            <w:r>
              <w:t xml:space="preserve">Value used</w:t>
            </w:r>
          </w:p>
        </w:tc>
        <w:tc>
          <w:tcPr>
            <w:tcW w:type="dxa" w:w="2250"/>
            <w:shd w:fill="DDDDDD" w:val="clear"/>
          </w:tcPr>
          <w:p>
            <w:r>
              <w:t xml:space="preserve">Where it lands in Solstice Labs' plans</w:t>
            </w:r>
          </w:p>
        </w:tc>
      </w:tr>
      <w:tr>
        <w:tc>
          <w:tcPr>
            <w:tcW w:type="dxa" w:w="2250"/>
          </w:tcPr>
          <w:p>
            <w:r>
              <w:t xml:space="preserve">SEO / paid search</w:t>
            </w:r>
          </w:p>
        </w:tc>
        <w:tc>
          <w:tcPr>
            <w:tcW w:type="dxa" w:w="2250"/>
          </w:tcPr>
          <w:p>
            <w:r>
              <w:t xml:space="preserve">Cost per click (CPC), Health &amp; Fitness category</w:t>
            </w:r>
          </w:p>
        </w:tc>
        <w:tc>
          <w:tcPr>
            <w:tcW w:type="dxa" w:w="2250"/>
          </w:tcPr>
          <w:p>
            <w:r>
              <w:rPr>
                <w:b/>
                <w:bCs/>
              </w:rPr>
              <w:t xml:space="preserve">$5.00 per click</w:t>
            </w:r>
            <w:r>
              <w:t xml:space="preserve"> [S1]</w:t>
            </w:r>
          </w:p>
        </w:tc>
        <w:tc>
          <w:tcPr>
            <w:tcW w:type="dxa" w:w="2250"/>
          </w:tcPr>
          <w:p>
            <w:r>
              <w:t xml:space="preserve">Used directly — reach is measured in engaged website clicks</w:t>
            </w:r>
          </w:p>
        </w:tc>
      </w:tr>
      <w:tr>
        <w:tc>
          <w:tcPr>
            <w:tcW w:type="dxa" w:w="2250"/>
          </w:tcPr>
          <w:p>
            <w:r>
              <w:t xml:space="preserve">TV — Sports/Fitness cable package</w:t>
            </w:r>
          </w:p>
        </w:tc>
        <w:tc>
          <w:tcPr>
            <w:tcW w:type="dxa" w:w="2250"/>
          </w:tcPr>
          <w:p>
            <w:r>
              <w:t xml:space="preserve">Cable TV CPM (cost per 1,000 viewers)</w:t>
            </w:r>
          </w:p>
        </w:tc>
        <w:tc>
          <w:tcPr>
            <w:tcW w:type="dxa" w:w="2250"/>
          </w:tcPr>
          <w:p>
            <w:r>
              <w:rPr>
                <w:b/>
                <w:bCs/>
              </w:rPr>
              <w:t xml:space="preserve">$14.00 CPM</w:t>
            </w:r>
            <w:r>
              <w:t xml:space="preserve"> (within the real $10–$30 cable CPM range [S2])</w:t>
            </w:r>
          </w:p>
        </w:tc>
        <w:tc>
          <w:tcPr>
            <w:tcW w:type="dxa" w:w="2250"/>
          </w:tcPr>
          <w:p>
            <w:r>
              <w:t xml:space="preserve">Chosen at the lower end of the sourced range — niche/targeted cable inventory typically prices below broad primetime cable</w:t>
            </w:r>
          </w:p>
        </w:tc>
      </w:tr>
      <w:tr>
        <w:tc>
          <w:tcPr>
            <w:tcW w:type="dxa" w:w="2250"/>
          </w:tcPr>
          <w:p>
            <w:r>
              <w:t xml:space="preserve">TV — General daytime/primetime broadcast package</w:t>
            </w:r>
          </w:p>
        </w:tc>
        <w:tc>
          <w:tcPr>
            <w:tcW w:type="dxa" w:w="2250"/>
          </w:tcPr>
          <w:p>
            <w:r>
              <w:t xml:space="preserve">National linear broadcast TV CPM</w:t>
            </w:r>
          </w:p>
        </w:tc>
        <w:tc>
          <w:tcPr>
            <w:tcW w:type="dxa" w:w="2250"/>
          </w:tcPr>
          <w:p>
            <w:r>
              <w:rPr>
                <w:b/>
                <w:bCs/>
              </w:rPr>
              <w:t xml:space="preserve">$30.00 CPM</w:t>
            </w:r>
            <w:r>
              <w:t xml:space="preserve"> (within the real $25–$40 national-linear-broadcast range [S14])</w:t>
            </w:r>
          </w:p>
        </w:tc>
        <w:tc>
          <w:tcPr>
            <w:tcW w:type="dxa" w:w="2250"/>
          </w:tcPr>
          <w:p>
            <w:r>
              <w:t xml:space="preserve">Chosen in the lower-middle of the sourced range — this package spans daytime as well as primetime-adjacent inventory, so a value below the range's top end fits better than the range's premium ceiling</w:t>
            </w:r>
          </w:p>
        </w:tc>
      </w:tr>
      <w:tr>
        <w:tc>
          <w:tcPr>
            <w:tcW w:type="dxa" w:w="2250"/>
          </w:tcPr>
          <w:p>
            <w:r>
              <w:t xml:space="preserve">Radio — drive-time spots</w:t>
            </w:r>
          </w:p>
        </w:tc>
        <w:tc>
          <w:tcPr>
            <w:tcW w:type="dxa" w:w="2250"/>
          </w:tcPr>
          <w:p>
            <w:r>
              <w:t xml:space="preserve">Radio CPM (cost per 1,000 listeners)</w:t>
            </w:r>
          </w:p>
        </w:tc>
        <w:tc>
          <w:tcPr>
            <w:tcW w:type="dxa" w:w="2250"/>
          </w:tcPr>
          <w:p>
            <w:r>
              <w:rPr>
                <w:b/>
                <w:bCs/>
              </w:rPr>
              <w:t xml:space="preserve">$10.00 CPM</w:t>
            </w:r>
            <w:r>
              <w:t xml:space="preserve"> (informed by real weekly drive-time package costs [S3]; no single public source publishes a drive-time-specific CPM)</w:t>
            </w:r>
          </w:p>
        </w:tc>
        <w:tc>
          <w:tcPr>
            <w:tcW w:type="dxa" w:w="2250"/>
          </w:tcPr>
          <w:p>
            <w:r>
              <w:t xml:space="preserve">Cross-checked against S3's real medium-market weekly package cost</w:t>
            </w:r>
          </w:p>
        </w:tc>
      </w:tr>
      <w:tr>
        <w:tc>
          <w:tcPr>
            <w:tcW w:type="dxa" w:w="2250"/>
          </w:tcPr>
          <w:p>
            <w:r>
              <w:t xml:space="preserve">Print — health/fitness magazine, full-page placement</w:t>
            </w:r>
          </w:p>
        </w:tc>
        <w:tc>
          <w:tcPr>
            <w:tcW w:type="dxa" w:w="2250"/>
          </w:tcPr>
          <w:p>
            <w:r>
              <w:t xml:space="preserve">Magazine CPM (cost per 1,000 readers), by circulation tier</w:t>
            </w:r>
          </w:p>
        </w:tc>
        <w:tc>
          <w:tcPr>
            <w:tcW w:type="dxa" w:w="2250"/>
          </w:tcPr>
          <w:p>
            <w:r>
              <w:rPr>
                <w:b/>
                <w:bCs/>
              </w:rPr>
              <w:t xml:space="preserve">$63.00 CPM</w:t>
            </w:r>
            <w:r>
              <w:t xml:space="preserve"> (100,000-circulation tier) [S4]</w:t>
            </w:r>
          </w:p>
        </w:tc>
        <w:tc>
          <w:tcPr>
            <w:tcW w:type="dxa" w:w="2250"/>
          </w:tcPr>
          <w:p>
            <w:r>
              <w:t xml:space="preserve">Used directly</w:t>
            </w:r>
          </w:p>
        </w:tc>
      </w:tr>
    </w:tbl>
    <w:p/>
    <w:p>
      <w:r>
        <w:rPr>
          <w:b/>
          <w:bCs/>
        </w:rPr>
        <w:t xml:space="preserve">Not used by either plan, included for reference only:</w:t>
      </w:r>
      <w:r>
        <w:t xml:space="preserve"> podcast advertising CPM runs </w:t>
      </w:r>
      <w:r>
        <w:rPr>
          <w:b/>
          <w:bCs/>
        </w:rPr>
        <w:t xml:space="preserve">$12–$55</w:t>
      </w:r>
      <w:r>
        <w:t xml:space="preserve">, most advertisers paying $15–$30 [S3] — Solstice Labs' media buyer priced this channel out during planning because no podcast in the fitness/wellness space would commit to a launch-week flight on short notice, but the number is included here because it is a real, current alternative channel, not because either plan uses it.</w:t>
      </w:r>
    </w:p>
    <w:p>
      <w:r>
        <w:rPr>
          <w:b/>
          <w:bCs/>
        </w:rPr>
        <w:t xml:space="preserve">Corroboration sought and not used to replace a value.</w:t>
      </w:r>
      <w:r>
        <w:t xml:space="preserve"> A tighter search for four specific channel-cost figures (sports-cable CPM, general-broadcast CPM, drive-time-specific radio CPM, and a wearables/hardware-specific SEO CPC) turned up one genuine replacement (the general-broadcast row above, now sourced to [S14] instead of sharing S2's undifferentiated cable range) and three real, live-fetched sources that corroborate rather than replace an existing value: a real, dated live-sports </w:t>
      </w:r>
      <w:r>
        <w:rPr>
          <w:b/>
          <w:bCs/>
        </w:rPr>
        <w:t xml:space="preserve">streaming</w:t>
      </w:r>
      <w:r>
        <w:t xml:space="preserve"> CPM ($40–$80+ [S14]) confirms sports-specific content commands a real premium in at least one other ad format, but streaming inventory is bought and priced differently than the cable package this case models, so the TV Sports/Fitness row's $14.00 CPM stays a Modeling Assumption within S2's cable range rather than being replaced — no source distinguishing a sports-network-specific cable CPM from general cable was found. A second real source [S16] puts the average U.S. radio CPM across the top 50 markets at $4.78 — below this case's $10.00 drive-time figure — but that same source and a second, independent radio-industry page both confirm morning/afternoon drive commands a premium over that blended average and that no station publishes a public drive-time rate, so $10.00 remains a plausible above-average assumption rather than being replaced by the lower blended figure. A third search for a wearables- or connected-fitness-hardware-specific paid-search CPC found only broader Sports &amp; Fitness ($1.45) and Electronics &amp; Tech ($1.85) search-CPC figures from a different benchmark publisher [S17] that itself conflicts with this appendix's $5.00 Health &amp; Fitness CPC [S1] by more than 3x for adjacent categories — the same kind of cross-publisher spread this case already flags for the smart-water-bottle market-size figures (Appendix B, [S10]) — so [S1]'s figure remains the value used, with no wearables-specific real number found to tighten it.</w:t>
      </w:r>
    </w:p>
    <w:p>
      <w:pPr>
        <w:pStyle w:val="Heading2"/>
        <w:spacing w:after="120" w:before="240"/>
      </w:pPr>
      <w:r>
        <w:t xml:space="preserve">Appendix B — The Two Segments</w:t>
      </w:r>
    </w:p>
    <w:p>
      <w:r>
        <w:t xml:space="preserve">Referenced in Background, Appendix D, and Challenge 3 (D1).</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DDDDD" w:val="clear"/>
          </w:tcPr>
          <w:p>
            <w:r>
              <w:t xml:space="preserve">Segment</w:t>
            </w:r>
          </w:p>
        </w:tc>
        <w:tc>
          <w:tcPr>
            <w:tcW w:type="dxa" w:w="3000"/>
            <w:shd w:fill="DDDDDD" w:val="clear"/>
          </w:tcPr>
          <w:p>
            <w:r>
              <w:t xml:space="preserve">Definition</w:t>
            </w:r>
          </w:p>
        </w:tc>
        <w:tc>
          <w:tcPr>
            <w:tcW w:type="dxa" w:w="3000"/>
            <w:shd w:fill="DDDDDD" w:val="clear"/>
          </w:tcPr>
          <w:p>
            <w:r>
              <w:t xml:space="preserve">Role in Solstice Labs' pilot</w:t>
            </w:r>
          </w:p>
        </w:tc>
      </w:tr>
      <w:tr>
        <w:tc>
          <w:tcPr>
            <w:tcW w:type="dxa" w:w="3000"/>
          </w:tcPr>
          <w:p>
            <w:r>
              <w:t xml:space="preserve">Segment 1</w:t>
            </w:r>
          </w:p>
        </w:tc>
        <w:tc>
          <w:tcPr>
            <w:tcW w:type="dxa" w:w="3000"/>
          </w:tcPr>
          <w:p>
            <w:r>
              <w:t xml:space="preserve">Student athletes, ages 13–22</w:t>
            </w:r>
          </w:p>
        </w:tc>
        <w:tc>
          <w:tcPr>
            <w:tcW w:type="dxa" w:w="3000"/>
          </w:tcPr>
          <w:p>
            <w:r>
              <w:t xml:space="preserve">Higher activity/sweat-rate variability; the pilot found stronger initial product-fit enthusiasm but a shorter, more price-sensitive subscription horizon</w:t>
            </w:r>
          </w:p>
        </w:tc>
      </w:tr>
      <w:tr>
        <w:tc>
          <w:tcPr>
            <w:tcW w:type="dxa" w:w="3000"/>
          </w:tcPr>
          <w:p>
            <w:r>
              <w:t xml:space="preserve">Segment 2</w:t>
            </w:r>
          </w:p>
        </w:tc>
        <w:tc>
          <w:tcPr>
            <w:tcW w:type="dxa" w:w="3000"/>
          </w:tcPr>
          <w:p>
            <w:r>
              <w:t xml:space="preserve">Working professionals, ages 25–45</w:t>
            </w:r>
          </w:p>
        </w:tc>
        <w:tc>
          <w:tcPr>
            <w:tcW w:type="dxa" w:w="3000"/>
          </w:tcPr>
          <w:p>
            <w:r>
              <w:t xml:space="preserve">Lower activity variability on average, but greater and steadier subscription spending once adopted</w:t>
            </w:r>
          </w:p>
        </w:tc>
      </w:tr>
    </w:tbl>
    <w:p/>
    <w:p>
      <w:r>
        <w:t xml:space="preserve">Every channel in Appendix A reaches a different blend of these two segments — that mix is given in Appendix D.</w:t>
      </w:r>
    </w:p>
    <w:p>
      <w:r>
        <w:rPr>
          <w:b/>
          <w:bCs/>
        </w:rPr>
        <w:t xml:space="preserve">Market context.</w:t>
      </w:r>
      <w:r>
        <w:t xml:space="preserve"> The category Solstice Labs is entering is itself real and growing, not just asserted: the global smart water bottle market was valued at $550.99 million in 2025 and is projected to grow from $585.65 million in 2026 to $1,043.88 million by 2034, a 7.49% CAGR, with North America the largest region at a 37.79% share (about $208.22 million) of the 2025 market [S10]. Two real, cited demographic patterns line up with why Solstice Labs is targeting these two specific segments:</w:t>
      </w:r>
    </w:p>
    <w:p>
      <w:pPr>
        <w:ind w:left="360"/>
      </w:pPr>
      <w:r>
        <w:t xml:space="preserve">- </w:t>
      </w:r>
      <w:r>
        <w:rPr>
          <w:b/>
          <w:bCs/>
        </w:rPr>
        <w:t xml:space="preserve">Wearable-device ownership skews younger.</w:t>
      </w:r>
      <w:r>
        <w:t xml:space="preserve"> A 2026 Pew Research Center survey found 37% of U.S. adults own a smartwatch overall, but ownership rises to 44% among adults ages 18–49 [S11] — a real, cited gap that overlaps the older half of Segment 1 and all of Segment 2, the exact population FlowState's cartridge depends on already owning a paired fitness tracker.</w:t>
      </w:r>
    </w:p>
    <w:p>
      <w:pPr>
        <w:ind w:left="360"/>
      </w:pPr>
      <w:r>
        <w:t xml:space="preserve">- </w:t>
      </w:r>
      <w:r>
        <w:rPr>
          <w:b/>
          <w:bCs/>
        </w:rPr>
        <w:t xml:space="preserve">Younger generations spend disproportionately on wellness, including hydration and wearables.</w:t>
      </w:r>
      <w:r>
        <w:t xml:space="preserve"> Gen Z and Millennials make up about 36% of the U.S. adult population but account for roughly 41% of annual U.S. wellness spending, while consumers 58+ make up about 35% of the population but drive only about 28% of that spending [S12] — a real, cited skew toward the age range Segments 1 and 2 span, and toward the discretionary wellness categories (wearables, hydration, self-care tools) FlowState sits in, not just "wellness" broadly.</w:t>
      </w:r>
    </w:p>
    <w:p>
      <w:r>
        <w:t xml:space="preserve">Neither of these two findings names a snap-in-cartridge hydration bottle, Solstice Labs, or FlowState specifically — no such product-specific study exists — so the segment-level product-fit and subscription-horizon claims in the table above remain Modeling Assumptions (MA5, MA9 — Appendix E). What these findings establish, with real citations, is that the underlying category and its younger-skewing customer base are real and growing.</w:t>
      </w:r>
    </w:p>
    <w:p>
      <w:pPr>
        <w:pStyle w:val="Heading2"/>
        <w:spacing w:after="120" w:before="240"/>
      </w:pPr>
      <w:r>
        <w:t xml:space="preserve">Appendix C — The Two Allocation Plans</w:t>
      </w:r>
    </w:p>
    <w:p>
      <w:r>
        <w:t xml:space="preserve">Referenced in Background and Dilemma. Solstice Labs' fixed total launch advertising budget is </w:t>
      </w:r>
      <w:r>
        <w:rPr>
          <w:b/>
          <w:bCs/>
        </w:rPr>
        <w:t xml:space="preserve">$60,000</w:t>
      </w:r>
      <w:r>
        <w:t xml:space="preserve"> (MA1 — see Appendix E). Both plans spend the entire $60,000; neither plan leaves money unspent.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DDDDD" w:val="clear"/>
          </w:tcPr>
          <w:p>
            <w:r>
              <w:t xml:space="preserve">Channel</w:t>
            </w:r>
          </w:p>
        </w:tc>
        <w:tc>
          <w:tcPr>
            <w:tcW w:type="dxa" w:w="3000"/>
            <w:shd w:fill="DDDDDD" w:val="clear"/>
          </w:tcPr>
          <w:p>
            <w:r>
              <w:t xml:space="preserve">Plan A — The Broadcast Blitz</w:t>
            </w:r>
          </w:p>
        </w:tc>
        <w:tc>
          <w:tcPr>
            <w:tcW w:type="dxa" w:w="3000"/>
            <w:shd w:fill="DDDDDD" w:val="clear"/>
          </w:tcPr>
          <w:p>
            <w:r>
              <w:t xml:space="preserve">Plan B — The Precision Funnel</w:t>
            </w:r>
          </w:p>
        </w:tc>
      </w:tr>
      <w:tr>
        <w:tc>
          <w:tcPr>
            <w:tcW w:type="dxa" w:w="3000"/>
          </w:tcPr>
          <w:p>
            <w:r>
              <w:t xml:space="preserve">TV — Sports/Fitness</w:t>
            </w:r>
          </w:p>
        </w:tc>
        <w:tc>
          <w:tcPr>
            <w:tcW w:type="dxa" w:w="3000"/>
          </w:tcPr>
          <w:p>
            <w:r>
              <w:t xml:space="preserve">$18,000</w:t>
            </w:r>
          </w:p>
        </w:tc>
        <w:tc>
          <w:tcPr>
            <w:tcW w:type="dxa" w:w="3000"/>
          </w:tcPr>
          <w:p>
            <w:r>
              <w:t xml:space="preserve">$6,000</w:t>
            </w:r>
          </w:p>
        </w:tc>
      </w:tr>
      <w:tr>
        <w:tc>
          <w:tcPr>
            <w:tcW w:type="dxa" w:w="3000"/>
          </w:tcPr>
          <w:p>
            <w:r>
              <w:t xml:space="preserve">TV — General broadcast</w:t>
            </w:r>
          </w:p>
        </w:tc>
        <w:tc>
          <w:tcPr>
            <w:tcW w:type="dxa" w:w="3000"/>
          </w:tcPr>
          <w:p>
            <w:r>
              <w:t xml:space="preserve">$18,000</w:t>
            </w:r>
          </w:p>
        </w:tc>
        <w:tc>
          <w:tcPr>
            <w:tcW w:type="dxa" w:w="3000"/>
          </w:tcPr>
          <w:p>
            <w:r>
              <w:t xml:space="preserve">$6,000</w:t>
            </w:r>
          </w:p>
        </w:tc>
      </w:tr>
      <w:tr>
        <w:tc>
          <w:tcPr>
            <w:tcW w:type="dxa" w:w="3000"/>
          </w:tcPr>
          <w:p>
            <w:r>
              <w:t xml:space="preserve">Radio — drive-time</w:t>
            </w:r>
          </w:p>
        </w:tc>
        <w:tc>
          <w:tcPr>
            <w:tcW w:type="dxa" w:w="3000"/>
          </w:tcPr>
          <w:p>
            <w:r>
              <w:t xml:space="preserve">$12,000</w:t>
            </w:r>
          </w:p>
        </w:tc>
        <w:tc>
          <w:tcPr>
            <w:tcW w:type="dxa" w:w="3000"/>
          </w:tcPr>
          <w:p>
            <w:r>
              <w:t xml:space="preserve">$6,000</w:t>
            </w:r>
          </w:p>
        </w:tc>
      </w:tr>
      <w:tr>
        <w:tc>
          <w:tcPr>
            <w:tcW w:type="dxa" w:w="3000"/>
          </w:tcPr>
          <w:p>
            <w:r>
              <w:t xml:space="preserve">SEO / paid search</w:t>
            </w:r>
          </w:p>
        </w:tc>
        <w:tc>
          <w:tcPr>
            <w:tcW w:type="dxa" w:w="3000"/>
          </w:tcPr>
          <w:p>
            <w:r>
              <w:t xml:space="preserve">$8,000</w:t>
            </w:r>
          </w:p>
        </w:tc>
        <w:tc>
          <w:tcPr>
            <w:tcW w:type="dxa" w:w="3000"/>
          </w:tcPr>
          <w:p>
            <w:r>
              <w:t xml:space="preserve">$26,000</w:t>
            </w:r>
          </w:p>
        </w:tc>
      </w:tr>
      <w:tr>
        <w:tc>
          <w:tcPr>
            <w:tcW w:type="dxa" w:w="3000"/>
          </w:tcPr>
          <w:p>
            <w:r>
              <w:t xml:space="preserve">Print — magazine</w:t>
            </w:r>
          </w:p>
        </w:tc>
        <w:tc>
          <w:tcPr>
            <w:tcW w:type="dxa" w:w="3000"/>
          </w:tcPr>
          <w:p>
            <w:r>
              <w:t xml:space="preserve">$4,000</w:t>
            </w:r>
          </w:p>
        </w:tc>
        <w:tc>
          <w:tcPr>
            <w:tcW w:type="dxa" w:w="3000"/>
          </w:tcPr>
          <w:p>
            <w:r>
              <w:t xml:space="preserve">$16,000</w:t>
            </w:r>
          </w:p>
        </w:tc>
      </w:tr>
      <w:tr>
        <w:tc>
          <w:tcPr>
            <w:tcW w:type="dxa" w:w="3000"/>
          </w:tcPr>
          <w:p>
            <w:r>
              <w:rPr>
                <w:b/>
                <w:bCs/>
              </w:rPr>
              <w:t xml:space="preserve">Total</w:t>
            </w:r>
          </w:p>
        </w:tc>
        <w:tc>
          <w:tcPr>
            <w:tcW w:type="dxa" w:w="3000"/>
          </w:tcPr>
          <w:p>
            <w:r>
              <w:rPr>
                <w:b/>
                <w:bCs/>
              </w:rPr>
              <w:t xml:space="preserve">$60,000</w:t>
            </w:r>
          </w:p>
        </w:tc>
        <w:tc>
          <w:tcPr>
            <w:tcW w:type="dxa" w:w="3000"/>
          </w:tcPr>
          <w:p>
            <w:r>
              <w:rPr>
                <w:b/>
                <w:bCs/>
              </w:rPr>
              <w:t xml:space="preserve">$60,000</w:t>
            </w:r>
          </w:p>
        </w:tc>
      </w:tr>
    </w:tbl>
    <w:p/>
    <w:p>
      <w:pPr>
        <w:pStyle w:val="Heading2"/>
        <w:spacing w:after="120" w:before="240"/>
      </w:pPr>
      <w:r>
        <w:t xml:space="preserve">Appendix D — Funnel Conversion Rates</w:t>
      </w:r>
    </w:p>
    <w:p>
      <w:r>
        <w:t xml:space="preserve">Referenced in Background and Challenge 3 (D1, D2, D3). For each channel: the segment split of that channel's audience, the awareness rate (audience reached → becomes aware of FlowState), the interest rate (aware → visits the FlowState site or landing page), the trial-conversion rate (interested visitor → signs up for the pre-order/trial), and the adoption rate (trial → becomes a paying subscriber). SEO/paid search skips the awareness and interest stages: a paid-search click is already a person who searched for the product category and chose to click, so it is treated as 100% aware and 100% interested by construction — apply the trial-conversion rate directly to SEO's reach.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c>
          <w:tcPr>
            <w:tcW w:type="dxa" w:w="1800"/>
            <w:shd w:fill="DDDDDD" w:val="clear"/>
          </w:tcPr>
          <w:p>
            <w:r>
              <w:t xml:space="preserve">Channel</w:t>
            </w:r>
          </w:p>
        </w:tc>
        <w:tc>
          <w:tcPr>
            <w:tcW w:type="dxa" w:w="1800"/>
            <w:shd w:fill="DDDDDD" w:val="clear"/>
          </w:tcPr>
          <w:p>
            <w:r>
              <w:t xml:space="preserve">Segment split (S1 / S2)</w:t>
            </w:r>
          </w:p>
        </w:tc>
        <w:tc>
          <w:tcPr>
            <w:tcW w:type="dxa" w:w="1800"/>
            <w:shd w:fill="DDDDDD" w:val="clear"/>
          </w:tcPr>
          <w:p>
            <w:r>
              <w:t xml:space="preserve">Awareness rate</w:t>
            </w:r>
          </w:p>
        </w:tc>
        <w:tc>
          <w:tcPr>
            <w:tcW w:type="dxa" w:w="1800"/>
            <w:shd w:fill="DDDDDD" w:val="clear"/>
          </w:tcPr>
          <w:p>
            <w:r>
              <w:t xml:space="preserve">Interest rate (given aware)</w:t>
            </w:r>
          </w:p>
        </w:tc>
        <w:tc>
          <w:tcPr>
            <w:tcW w:type="dxa" w:w="1800"/>
            <w:shd w:fill="DDDDDD" w:val="clear"/>
          </w:tcPr>
          <w:p>
            <w:r>
              <w:t xml:space="preserve">Trial-conversion rate (given interested)</w:t>
            </w:r>
          </w:p>
        </w:tc>
      </w:tr>
      <w:tr>
        <w:tc>
          <w:tcPr>
            <w:tcW w:type="dxa" w:w="1800"/>
          </w:tcPr>
          <w:p>
            <w:r>
              <w:t xml:space="preserve">TV — Sports/Fitness</w:t>
            </w:r>
          </w:p>
        </w:tc>
        <w:tc>
          <w:tcPr>
            <w:tcW w:type="dxa" w:w="1800"/>
          </w:tcPr>
          <w:p>
            <w:r>
              <w:t xml:space="preserve">65% / 35%</w:t>
            </w:r>
          </w:p>
        </w:tc>
        <w:tc>
          <w:tcPr>
            <w:tcW w:type="dxa" w:w="1800"/>
          </w:tcPr>
          <w:p>
            <w:r>
              <w:t xml:space="preserve">22%</w:t>
            </w:r>
          </w:p>
        </w:tc>
        <w:tc>
          <w:tcPr>
            <w:tcW w:type="dxa" w:w="1800"/>
          </w:tcPr>
          <w:p>
            <w:r>
              <w:t xml:space="preserve">10%</w:t>
            </w:r>
          </w:p>
        </w:tc>
        <w:tc>
          <w:tcPr>
            <w:tcW w:type="dxa" w:w="1800"/>
          </w:tcPr>
          <w:p>
            <w:r>
              <w:t xml:space="preserve">1.17%</w:t>
            </w:r>
          </w:p>
        </w:tc>
      </w:tr>
      <w:tr>
        <w:tc>
          <w:tcPr>
            <w:tcW w:type="dxa" w:w="1800"/>
          </w:tcPr>
          <w:p>
            <w:r>
              <w:t xml:space="preserve">TV — General broadcast</w:t>
            </w:r>
          </w:p>
        </w:tc>
        <w:tc>
          <w:tcPr>
            <w:tcW w:type="dxa" w:w="1800"/>
          </w:tcPr>
          <w:p>
            <w:r>
              <w:t xml:space="preserve">30% / 70%</w:t>
            </w:r>
          </w:p>
        </w:tc>
        <w:tc>
          <w:tcPr>
            <w:tcW w:type="dxa" w:w="1800"/>
          </w:tcPr>
          <w:p>
            <w:r>
              <w:t xml:space="preserve">22%</w:t>
            </w:r>
          </w:p>
        </w:tc>
        <w:tc>
          <w:tcPr>
            <w:tcW w:type="dxa" w:w="1800"/>
          </w:tcPr>
          <w:p>
            <w:r>
              <w:t xml:space="preserve">10%</w:t>
            </w:r>
          </w:p>
        </w:tc>
        <w:tc>
          <w:tcPr>
            <w:tcW w:type="dxa" w:w="1800"/>
          </w:tcPr>
          <w:p>
            <w:r>
              <w:t xml:space="preserve">1.17%</w:t>
            </w:r>
          </w:p>
        </w:tc>
      </w:tr>
      <w:tr>
        <w:tc>
          <w:tcPr>
            <w:tcW w:type="dxa" w:w="1800"/>
          </w:tcPr>
          <w:p>
            <w:r>
              <w:t xml:space="preserve">Radio — drive-time</w:t>
            </w:r>
          </w:p>
        </w:tc>
        <w:tc>
          <w:tcPr>
            <w:tcW w:type="dxa" w:w="1800"/>
          </w:tcPr>
          <w:p>
            <w:r>
              <w:t xml:space="preserve">25% / 75%</w:t>
            </w:r>
          </w:p>
        </w:tc>
        <w:tc>
          <w:tcPr>
            <w:tcW w:type="dxa" w:w="1800"/>
          </w:tcPr>
          <w:p>
            <w:r>
              <w:t xml:space="preserve">12%</w:t>
            </w:r>
          </w:p>
        </w:tc>
        <w:tc>
          <w:tcPr>
            <w:tcW w:type="dxa" w:w="1800"/>
          </w:tcPr>
          <w:p>
            <w:r>
              <w:t xml:space="preserve">8%</w:t>
            </w:r>
          </w:p>
        </w:tc>
        <w:tc>
          <w:tcPr>
            <w:tcW w:type="dxa" w:w="1800"/>
          </w:tcPr>
          <w:p>
            <w:r>
              <w:t xml:space="preserve">1.17%</w:t>
            </w:r>
          </w:p>
        </w:tc>
      </w:tr>
      <w:tr>
        <w:tc>
          <w:tcPr>
            <w:tcW w:type="dxa" w:w="1800"/>
          </w:tcPr>
          <w:p>
            <w:r>
              <w:t xml:space="preserve">Print — magazine</w:t>
            </w:r>
          </w:p>
        </w:tc>
        <w:tc>
          <w:tcPr>
            <w:tcW w:type="dxa" w:w="1800"/>
          </w:tcPr>
          <w:p>
            <w:r>
              <w:t xml:space="preserve">20% / 80%</w:t>
            </w:r>
          </w:p>
        </w:tc>
        <w:tc>
          <w:tcPr>
            <w:tcW w:type="dxa" w:w="1800"/>
          </w:tcPr>
          <w:p>
            <w:r>
              <w:rPr>
                <w:i/>
                <w:iCs/>
              </w:rPr>
              <w:t xml:space="preserve">(you assume — see Challenge D1)</w:t>
            </w:r>
          </w:p>
        </w:tc>
        <w:tc>
          <w:tcPr>
            <w:tcW w:type="dxa" w:w="1800"/>
          </w:tcPr>
          <w:p>
            <w:r>
              <w:rPr>
                <w:i/>
                <w:iCs/>
              </w:rPr>
              <w:t xml:space="preserve">(you assume — see Challenge D1)</w:t>
            </w:r>
          </w:p>
        </w:tc>
        <w:tc>
          <w:tcPr>
            <w:tcW w:type="dxa" w:w="1800"/>
          </w:tcPr>
          <w:p>
            <w:r>
              <w:t xml:space="preserve">1.17%</w:t>
            </w:r>
          </w:p>
        </w:tc>
      </w:tr>
      <w:tr>
        <w:tc>
          <w:tcPr>
            <w:tcW w:type="dxa" w:w="1800"/>
          </w:tcPr>
          <w:p>
            <w:r>
              <w:t xml:space="preserve">SEO / paid search</w:t>
            </w:r>
          </w:p>
        </w:tc>
        <w:tc>
          <w:tcPr>
            <w:tcW w:type="dxa" w:w="1800"/>
          </w:tcPr>
          <w:p>
            <w:r>
              <w:t xml:space="preserve">45% / 55%</w:t>
            </w:r>
          </w:p>
        </w:tc>
        <w:tc>
          <w:tcPr>
            <w:tcW w:type="dxa" w:w="1800"/>
          </w:tcPr>
          <w:p>
            <w:r>
              <w:t xml:space="preserve">100% (by construction)</w:t>
            </w:r>
          </w:p>
        </w:tc>
        <w:tc>
          <w:tcPr>
            <w:tcW w:type="dxa" w:w="1800"/>
          </w:tcPr>
          <w:p>
            <w:r>
              <w:t xml:space="preserve">100% (by construction)</w:t>
            </w:r>
          </w:p>
        </w:tc>
        <w:tc>
          <w:tcPr>
            <w:tcW w:type="dxa" w:w="1800"/>
          </w:tcPr>
          <w:p>
            <w:r>
              <w:t xml:space="preserve">6.8%</w:t>
            </w:r>
          </w:p>
        </w:tc>
      </w:tr>
    </w:tbl>
    <w:p/>
    <w:p>
      <w:r>
        <w:rPr>
          <w:b/>
          <w:bCs/>
        </w:rPr>
        <w:t xml:space="preserve">Trial-conversion rate note:</w:t>
      </w:r>
      <w:r>
        <w:t xml:space="preserve"> 1.17% is the real, published median site-conversion rate across direct-to-consumer ecommerce stores [S6], applied here as the "interested visitor becomes a trial signup" rate for every channel except SEO. SEO uses 6.8%, the real published average conversion rate for Health &amp; Fitness–category paid-search clicks [S1] — a paid-search click already carries far more purchase intent than a passive TV, radio, or print impression, which is why the case gives it a different, higher rate rather than assuming the same number applies everywhere.</w:t>
      </w:r>
    </w:p>
    <w:p>
      <w:r>
        <w:rPr>
          <w:b/>
          <w:bCs/>
        </w:rPr>
        <w:t xml:space="preserve">Category-specific corroboration:</w:t>
      </w:r>
      <w:r>
        <w:t xml:space="preserve"> a real, dated benchmark specific to Health &amp; Fitness subscription products — tighter than the generic direct-to-consumer ecommerce benchmark above — comes from Adapty's 2026 State of In-App Subscriptions report: Health &amp; Fitness weekly subscriptions with a free trial convert trial-to-paid at 42.2%, with install-to-trial rates of 9.5% globally and 14.5% in North America [S13]. This is used here as a cross-check on the adoption-rate assumption below (Appendix E, MA9), not as a direct value in this case's arithmetic: the 42.2% Health &amp; Fitness figure falls between the two D2C-brand tiers already used for Segment 1 (35.8%) and Segment 2 (52.0%) [S7], corroborating that both tier values sit within a real, category-plausible range rather than resting on a generic cross-industry benchmark alone.</w:t>
      </w:r>
    </w:p>
    <w:p>
      <w:r>
        <w:rPr>
          <w:b/>
          <w:bCs/>
        </w:rPr>
        <w:t xml:space="preserve">Adoption rate (trial → paying subscriber), by segment: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DDDDD" w:val="clear"/>
          </w:tcPr>
          <w:p>
            <w:r>
              <w:t xml:space="preserve">Segment</w:t>
            </w:r>
          </w:p>
        </w:tc>
        <w:tc>
          <w:tcPr>
            <w:tcW w:type="dxa" w:w="3000"/>
            <w:shd w:fill="DDDDDD" w:val="clear"/>
          </w:tcPr>
          <w:p>
            <w:r>
              <w:t xml:space="preserve">Adoption rate</w:t>
            </w:r>
          </w:p>
        </w:tc>
        <w:tc>
          <w:tcPr>
            <w:tcW w:type="dxa" w:w="3000"/>
            <w:shd w:fill="DDDDDD" w:val="clear"/>
          </w:tcPr>
          <w:p>
            <w:r>
              <w:t xml:space="preserve">Basis</w:t>
            </w:r>
          </w:p>
        </w:tc>
      </w:tr>
      <w:tr>
        <w:tc>
          <w:tcPr>
            <w:tcW w:type="dxa" w:w="3000"/>
          </w:tcPr>
          <w:p>
            <w:r>
              <w:t xml:space="preserve">Segment 1 (student athletes, 13–22)</w:t>
            </w:r>
          </w:p>
        </w:tc>
        <w:tc>
          <w:tcPr>
            <w:tcW w:type="dxa" w:w="3000"/>
          </w:tcPr>
          <w:p>
            <w:r>
              <w:rPr>
                <w:b/>
                <w:bCs/>
              </w:rPr>
              <w:t xml:space="preserve">35.8%</w:t>
            </w:r>
          </w:p>
        </w:tc>
        <w:tc>
          <w:tcPr>
            <w:tcW w:type="dxa" w:w="3000"/>
          </w:tcPr>
          <w:p>
            <w:r>
              <w:t xml:space="preserve">Real published trial-to-paid conversion rate, "Followers" tier, D2C subscription brands [S7]</w:t>
            </w:r>
          </w:p>
        </w:tc>
      </w:tr>
      <w:tr>
        <w:tc>
          <w:tcPr>
            <w:tcW w:type="dxa" w:w="3000"/>
          </w:tcPr>
          <w:p>
            <w:r>
              <w:t xml:space="preserve">Segment 2 (working professionals, 25–45)</w:t>
            </w:r>
          </w:p>
        </w:tc>
        <w:tc>
          <w:tcPr>
            <w:tcW w:type="dxa" w:w="3000"/>
          </w:tcPr>
          <w:p>
            <w:r>
              <w:rPr>
                <w:b/>
                <w:bCs/>
              </w:rPr>
              <w:t xml:space="preserve">52.0%</w:t>
            </w:r>
          </w:p>
        </w:tc>
        <w:tc>
          <w:tcPr>
            <w:tcW w:type="dxa" w:w="3000"/>
          </w:tcPr>
          <w:p>
            <w:r>
              <w:t xml:space="preserve">Real published trial-to-paid conversion rate, "Average" tier, D2C subscription brands [S7]</w:t>
            </w:r>
          </w:p>
        </w:tc>
      </w:tr>
    </w:tbl>
    <w:p/>
    <w:p>
      <w:r>
        <w:t xml:space="preserve">This rate applies after D1's trial-conversion step, regardless of which channel produced the trial signup.</w:t>
      </w:r>
    </w:p>
    <w:p>
      <w:pPr>
        <w:pStyle w:val="Heading2"/>
        <w:spacing w:after="120" w:before="240"/>
      </w:pPr>
      <w:r>
        <w:t xml:space="preserve">Appendix E — Modeling Assumptions</w:t>
      </w:r>
    </w:p>
    <w:p>
      <w:pPr>
        <w:ind w:left="480"/>
      </w:pPr>
      <w:r>
        <w:t xml:space="preserve">These figures are </w:t>
      </w:r>
      <w:r>
        <w:rPr>
          <w:b/>
          <w:bCs/>
        </w:rPr>
        <w:t xml:space="preserve">not sourced from an external publisher</w:t>
      </w:r>
      <w:r>
        <w:t xml:space="preserve">. They are stated scenario assumptions chosen by the case author because no public report measures Solstice Labs' own launch budget, a specific channel's exact demographic skew for this specific campaign, or a brand-new fictional product's exact awareness/interest lift. A Hero may challenge any of these numbers in discussion — that is a legitimate move.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c>
          <w:tcPr>
            <w:tcW w:type="dxa" w:w="1800"/>
            <w:shd w:fill="DDDDDD" w:val="clear"/>
          </w:tcPr>
          <w:p>
            <w:r>
              <w:t xml:space="preserve">#</w:t>
            </w:r>
          </w:p>
        </w:tc>
        <w:tc>
          <w:tcPr>
            <w:tcW w:type="dxa" w:w="1800"/>
            <w:shd w:fill="DDDDDD" w:val="clear"/>
          </w:tcPr>
          <w:p>
            <w:r>
              <w:t xml:space="preserve">Assumption</w:t>
            </w:r>
          </w:p>
        </w:tc>
        <w:tc>
          <w:tcPr>
            <w:tcW w:type="dxa" w:w="1800"/>
            <w:shd w:fill="DDDDDD" w:val="clear"/>
          </w:tcPr>
          <w:p>
            <w:r>
              <w:t xml:space="preserve">Value used</w:t>
            </w:r>
          </w:p>
        </w:tc>
        <w:tc>
          <w:tcPr>
            <w:tcW w:type="dxa" w:w="1800"/>
            <w:shd w:fill="DDDDDD" w:val="clear"/>
          </w:tcPr>
          <w:p>
            <w:r>
              <w:t xml:space="preserve">Basis</w:t>
            </w:r>
          </w:p>
        </w:tc>
        <w:tc>
          <w:tcPr>
            <w:tcW w:type="dxa" w:w="1800"/>
            <w:shd w:fill="DDDDDD" w:val="clear"/>
          </w:tcPr>
          <w:p>
            <w:r>
              <w:t xml:space="preserve">Sensitivity</w:t>
            </w:r>
          </w:p>
        </w:tc>
      </w:tr>
      <w:tr>
        <w:tc>
          <w:tcPr>
            <w:tcW w:type="dxa" w:w="1800"/>
          </w:tcPr>
          <w:p>
            <w:r>
              <w:t xml:space="preserve">MA1</w:t>
            </w:r>
          </w:p>
        </w:tc>
        <w:tc>
          <w:tcPr>
            <w:tcW w:type="dxa" w:w="1800"/>
          </w:tcPr>
          <w:p>
            <w:r>
              <w:t xml:space="preserve">Total fixed launch advertising budget</w:t>
            </w:r>
          </w:p>
        </w:tc>
        <w:tc>
          <w:tcPr>
            <w:tcW w:type="dxa" w:w="1800"/>
          </w:tcPr>
          <w:p>
            <w:r>
              <w:t xml:space="preserve">$60,000</w:t>
            </w:r>
          </w:p>
        </w:tc>
        <w:tc>
          <w:tcPr>
            <w:tcW w:type="dxa" w:w="1800"/>
          </w:tcPr>
          <w:p>
            <w:r>
              <w:t xml:space="preserve">No public source publishes Solstice Labs' own budget (a fictional company). Set within the real, published seed-stage annual marketing-budget range of $50,000–$250,000 [S5], sized as a launch-specific slice of that annual range rather than the full year's marketing spend.</w:t>
            </w:r>
          </w:p>
        </w:tc>
        <w:tc>
          <w:tcPr>
            <w:tcW w:type="dxa" w:w="1800"/>
          </w:tcPr>
          <w:p>
            <w:r>
              <w:t xml:space="preserve">The case's numbers scale with this figure — work the comparison yourself with a different plausible total before assuming the recommendation is unaffected.</w:t>
            </w:r>
          </w:p>
        </w:tc>
      </w:tr>
      <w:tr>
        <w:tc>
          <w:tcPr>
            <w:tcW w:type="dxa" w:w="1800"/>
          </w:tcPr>
          <w:p>
            <w:r>
              <w:t xml:space="preserve">MA2</w:t>
            </w:r>
          </w:p>
        </w:tc>
        <w:tc>
          <w:tcPr>
            <w:tcW w:type="dxa" w:w="1800"/>
          </w:tcPr>
          <w:p>
            <w:r>
              <w:t xml:space="preserve">TV — Sports/Fitness CPM</w:t>
            </w:r>
          </w:p>
        </w:tc>
        <w:tc>
          <w:tcPr>
            <w:tcW w:type="dxa" w:w="1800"/>
          </w:tcPr>
          <w:p>
            <w:r>
              <w:t xml:space="preserve">$14.00</w:t>
            </w:r>
          </w:p>
        </w:tc>
        <w:tc>
          <w:tcPr>
            <w:tcW w:type="dxa" w:w="1800"/>
          </w:tcPr>
          <w:p>
            <w:r>
              <w:t xml:space="preserve">Chosen within the real, sourced $10–$30 cable CPM range [S2]. Set toward the low end to reflect that niche, targeted cable inventory (a single sports/fitness network) typically prices below broad primetime cable — no source publishes a network-specific figure for a hypothetical single sports/fitness cable package. A real, dated live-sports-</w:t>
            </w:r>
            <w:r>
              <w:rPr>
                <w:b/>
                <w:bCs/>
              </w:rPr>
              <w:t xml:space="preserve">streaming</w:t>
            </w:r>
            <w:r>
              <w:t xml:space="preserve"> CPM ($40–$80+ [S14]) confirms sports content commands a premium in at least one other ad format, but streaming and cable are priced on different models, so this was treated as corroboration, not a replacement value.</w:t>
            </w:r>
          </w:p>
        </w:tc>
        <w:tc>
          <w:tcPr>
            <w:tcW w:type="dxa" w:w="1800"/>
          </w:tcPr>
          <w:p>
            <w:r>
              <w:t xml:space="preserve">This case's plan comparison is sensitive to this figure — a different value inside the sourced range would change both plans' TV-sports reach.</w:t>
            </w:r>
          </w:p>
        </w:tc>
      </w:tr>
      <w:tr>
        <w:tc>
          <w:tcPr>
            <w:tcW w:type="dxa" w:w="1800"/>
          </w:tcPr>
          <w:p>
            <w:r>
              <w:t xml:space="preserve">MA3</w:t>
            </w:r>
          </w:p>
        </w:tc>
        <w:tc>
          <w:tcPr>
            <w:tcW w:type="dxa" w:w="1800"/>
          </w:tcPr>
          <w:p>
            <w:r>
              <w:t xml:space="preserve">TV — General broadcast CPM</w:t>
            </w:r>
          </w:p>
        </w:tc>
        <w:tc>
          <w:tcPr>
            <w:tcW w:type="dxa" w:w="1800"/>
          </w:tcPr>
          <w:p>
            <w:r>
              <w:t xml:space="preserve">$30.00</w:t>
            </w:r>
          </w:p>
        </w:tc>
        <w:tc>
          <w:tcPr>
            <w:tcW w:type="dxa" w:w="1800"/>
          </w:tcPr>
          <w:p>
            <w:r>
              <w:t xml:space="preserve">Chosen within a real, sourced $25–$40 national-linear-broadcast CPM range [S14] specific to broadcast rather than cable — a tighter fit than the prior revision's shared $10–$30 cable range, which did not distinguish broadcast from cable at all. Set in the lower-middle of this new range to reflect that this case's package spans daytime as well as primetime-adjacent inventory. Corroborated directionally by a separate real broadcast-average figure of $47.14 CPM [S15].</w:t>
            </w:r>
          </w:p>
        </w:tc>
        <w:tc>
          <w:tcPr>
            <w:tcW w:type="dxa" w:w="1800"/>
          </w:tcPr>
          <w:p>
            <w:r>
              <w:t xml:space="preserve">Same sensitivity class as MA2, applied to the general-broadcast package.</w:t>
            </w:r>
          </w:p>
        </w:tc>
      </w:tr>
      <w:tr>
        <w:tc>
          <w:tcPr>
            <w:tcW w:type="dxa" w:w="1800"/>
          </w:tcPr>
          <w:p>
            <w:r>
              <w:t xml:space="preserve">MA4</w:t>
            </w:r>
          </w:p>
        </w:tc>
        <w:tc>
          <w:tcPr>
            <w:tcW w:type="dxa" w:w="1800"/>
          </w:tcPr>
          <w:p>
            <w:r>
              <w:t xml:space="preserve">Radio — drive-time CPM</w:t>
            </w:r>
          </w:p>
        </w:tc>
        <w:tc>
          <w:tcPr>
            <w:tcW w:type="dxa" w:w="1800"/>
          </w:tcPr>
          <w:p>
            <w:r>
              <w:t xml:space="preserve">$10.00</w:t>
            </w:r>
          </w:p>
        </w:tc>
        <w:tc>
          <w:tcPr>
            <w:tcW w:type="dxa" w:w="1800"/>
          </w:tcPr>
          <w:p>
            <w:r>
              <w:t xml:space="preserve">No public source publishes an exact drive-time CPM — the industry's own terminology guide [S9] confirms there is no national price list for radio, since a rate is assembled per-market from audience, daypart, and season. Cross-checked for plausibility against a real, dated source's medium-market weekly drive-time package cost (roughly $2,500–$5,000/week) [S3] rather than invented outright. A separate real source [S16] puts the average U.S. radio CPM (all dayparts, top 50 markets) at $4.78 — below this $10.00 figure — but the same source and a second, independent radio-industry page both confirm drive-time specifically commands a premium over that blended average and that no station publishes a public drive-time rate, so $10.00 remains a plausible above-average assumption rather than being replaced by the lower blended figure.</w:t>
            </w:r>
          </w:p>
        </w:tc>
        <w:tc>
          <w:tcPr>
            <w:tcW w:type="dxa" w:w="1800"/>
          </w:tcPr>
          <w:p>
            <w:r>
              <w:t xml:space="preserve">This case's numbers are sensitive to this figure — work the comparison with a different plausible CPM before assuming the recommendation is unaffected.</w:t>
            </w:r>
          </w:p>
        </w:tc>
      </w:tr>
      <w:tr>
        <w:tc>
          <w:tcPr>
            <w:tcW w:type="dxa" w:w="1800"/>
          </w:tcPr>
          <w:p>
            <w:r>
              <w:t xml:space="preserve">MA5</w:t>
            </w:r>
          </w:p>
        </w:tc>
        <w:tc>
          <w:tcPr>
            <w:tcW w:type="dxa" w:w="1800"/>
          </w:tcPr>
          <w:p>
            <w:r>
              <w:t xml:space="preserve">Channel-by-segment audience skew (Appendix D, "Segment split" column)</w:t>
            </w:r>
          </w:p>
        </w:tc>
        <w:tc>
          <w:tcPr>
            <w:tcW w:type="dxa" w:w="1800"/>
          </w:tcPr>
          <w:p>
            <w:r>
              <w:t xml:space="preserve">See Appendix D table</w:t>
            </w:r>
          </w:p>
        </w:tc>
        <w:tc>
          <w:tcPr>
            <w:tcW w:type="dxa" w:w="1800"/>
          </w:tcPr>
          <w:p>
            <w:r>
              <w:t xml:space="preserve">No public audience-measurement source breaks out a hypothetical sports/fitness cable network, a general broadcast package, drive-time radio, a magazine placement, and paid search by these two specific segments for this specific fictional product. Set directionally consistent with well-known, general patterns in media consumption (sports-content programming skews younger; general daytime/primetime broadcast and print magazine readership skew toward an older, broader adult audience; paid search sits closest to a 50/50 split since intent-based search draws from both segments roughly evenly).</w:t>
            </w:r>
          </w:p>
        </w:tc>
        <w:tc>
          <w:tcPr>
            <w:tcW w:type="dxa" w:w="1800"/>
          </w:tcPr>
          <w:p>
            <w:r>
              <w:t xml:space="preserve">This case's plan comparison is sensitive to these splits — the whole reason Plan A and Plan B look different is that they lean on channels with different segment mixes.</w:t>
            </w:r>
          </w:p>
        </w:tc>
      </w:tr>
      <w:tr>
        <w:tc>
          <w:tcPr>
            <w:tcW w:type="dxa" w:w="1800"/>
          </w:tcPr>
          <w:p>
            <w:r>
              <w:t xml:space="preserve">MA6</w:t>
            </w:r>
          </w:p>
        </w:tc>
        <w:tc>
          <w:tcPr>
            <w:tcW w:type="dxa" w:w="1800"/>
          </w:tcPr>
          <w:p>
            <w:r>
              <w:t xml:space="preserve">Awareness rate, TV channels</w:t>
            </w:r>
          </w:p>
        </w:tc>
        <w:tc>
          <w:tcPr>
            <w:tcW w:type="dxa" w:w="1800"/>
          </w:tcPr>
          <w:p>
            <w:r>
              <w:t xml:space="preserve">22%</w:t>
            </w:r>
          </w:p>
        </w:tc>
        <w:tc>
          <w:tcPr>
            <w:tcW w:type="dxa" w:w="1800"/>
          </w:tcPr>
          <w:p>
            <w:r>
              <w:t xml:space="preserve">Informed by a real, dated finding that television advertising produces roughly a 23% brand-awareness lift versus 9% for digital advertising [S8]. Set just under that real lift figure to reflect a brand-new, previously-unadvertised product rather than an established brand's incremental lift.</w:t>
            </w:r>
          </w:p>
        </w:tc>
        <w:tc>
          <w:tcPr>
            <w:tcW w:type="dxa" w:w="1800"/>
          </w:tcPr>
          <w:p>
            <w:r>
              <w:t xml:space="preserve">Sensitive — a different awareness rate scales every downstream stage for both TV channels in both plans.</w:t>
            </w:r>
          </w:p>
        </w:tc>
      </w:tr>
      <w:tr>
        <w:tc>
          <w:tcPr>
            <w:tcW w:type="dxa" w:w="1800"/>
          </w:tcPr>
          <w:p>
            <w:r>
              <w:t xml:space="preserve">MA7</w:t>
            </w:r>
          </w:p>
        </w:tc>
        <w:tc>
          <w:tcPr>
            <w:tcW w:type="dxa" w:w="1800"/>
          </w:tcPr>
          <w:p>
            <w:r>
              <w:t xml:space="preserve">Awareness rate, radio</w:t>
            </w:r>
          </w:p>
        </w:tc>
        <w:tc>
          <w:tcPr>
            <w:tcW w:type="dxa" w:w="1800"/>
          </w:tcPr>
          <w:p>
            <w:r>
              <w:t xml:space="preserve">12%</w:t>
            </w:r>
          </w:p>
        </w:tc>
        <w:tc>
          <w:tcPr>
            <w:tcW w:type="dxa" w:w="1800"/>
          </w:tcPr>
          <w:p>
            <w:r>
              <w:t xml:space="preserve">No public source publishes an audio-only (no visual) ad-recall benchmark comparable to S8's TV figure. Set below the TV figure (MA6) to reflect that audio-only exposure is generally understood to produce lower unaided recall than a visual/audio medium, without a specific citable number for this exact comparison.</w:t>
            </w:r>
          </w:p>
        </w:tc>
        <w:tc>
          <w:tcPr>
            <w:tcW w:type="dxa" w:w="1800"/>
          </w:tcPr>
          <w:p>
            <w:r>
              <w:t xml:space="preserve">Same sensitivity class as MA6.</w:t>
            </w:r>
          </w:p>
        </w:tc>
      </w:tr>
      <w:tr>
        <w:tc>
          <w:tcPr>
            <w:tcW w:type="dxa" w:w="1800"/>
          </w:tcPr>
          <w:p>
            <w:r>
              <w:t xml:space="preserve">MA8</w:t>
            </w:r>
          </w:p>
        </w:tc>
        <w:tc>
          <w:tcPr>
            <w:tcW w:type="dxa" w:w="1800"/>
          </w:tcPr>
          <w:p>
            <w:r>
              <w:t xml:space="preserve">Interest rate (aware → visits site), all non-SEO channels</w:t>
            </w:r>
          </w:p>
        </w:tc>
        <w:tc>
          <w:tcPr>
            <w:tcW w:type="dxa" w:w="1800"/>
          </w:tcPr>
          <w:p>
            <w:r>
              <w:t xml:space="preserve">10% (TV), 8% (radio)</w:t>
            </w:r>
          </w:p>
        </w:tc>
        <w:tc>
          <w:tcPr>
            <w:tcW w:type="dxa" w:w="1800"/>
          </w:tcPr>
          <w:p>
            <w:r>
              <w:t xml:space="preserve">No public source publishes an "aware of a specific hydration-tech product → visits its website" rate. Set as a modest single-digit-to-low-double-digit fraction of the aware audience, consistent with the general principle that each funnel stage retains a small fraction of the stage before it.</w:t>
            </w:r>
          </w:p>
        </w:tc>
        <w:tc>
          <w:tcPr>
            <w:tcW w:type="dxa" w:w="1800"/>
          </w:tcPr>
          <w:p>
            <w:r>
              <w:t xml:space="preserve">Sensitive, same class as MA6/MA7 — this is exactly why Challenge D1 requires you to justify your own version of this rate for the print channel rather than being handed one.</w:t>
            </w:r>
          </w:p>
        </w:tc>
      </w:tr>
      <w:tr>
        <w:tc>
          <w:tcPr>
            <w:tcW w:type="dxa" w:w="1800"/>
          </w:tcPr>
          <w:p>
            <w:r>
              <w:t xml:space="preserve">MA9</w:t>
            </w:r>
          </w:p>
        </w:tc>
        <w:tc>
          <w:tcPr>
            <w:tcW w:type="dxa" w:w="1800"/>
          </w:tcPr>
          <w:p>
            <w:r>
              <w:t xml:space="preserve">Assignment of Segment 1 to the "Followers" adoption tier and Segment 2 to the "Average" adoption tier (Appendix D)</w:t>
            </w:r>
          </w:p>
        </w:tc>
        <w:tc>
          <w:tcPr>
            <w:tcW w:type="dxa" w:w="1800"/>
          </w:tcPr>
          <w:p>
            <w:r>
              <w:t xml:space="preserve">35.8% / 52.0%</w:t>
            </w:r>
          </w:p>
        </w:tc>
        <w:tc>
          <w:tcPr>
            <w:tcW w:type="dxa" w:w="1800"/>
          </w:tcPr>
          <w:p>
            <w:r>
              <w:t xml:space="preserve">Both values are real, published figures from the same source [S7] — the assumption is which segment gets which tier, not the values themselves. Segment 1 (student athletes, 13–22) is assigned the lower tier to reflect a shorter, more price-sensitive subscription horizon relative to Segment 2's steadier discretionary income; Segment 2 is assigned the higher tier on that basis. Cross-checked against a real, Health &amp; Fitness–specific subscription trial-to-paid benchmark of 42.2% [S13], which falls between the two tier values used, corroborating that both are plausible for this specific vertical rather than resting only on a cross-industry D2C benchmark.</w:t>
            </w:r>
          </w:p>
        </w:tc>
        <w:tc>
          <w:tcPr>
            <w:tcW w:type="dxa" w:w="1800"/>
          </w:tcPr>
          <w:p>
            <w:r>
              <w:t xml:space="preserve">The case's numbers are sensitive to this assignment — swapping which segment gets which real tier would change both plans' totals, since the two plans reach very different segment mixes.</w:t>
            </w:r>
          </w:p>
        </w:tc>
      </w:tr>
    </w:tbl>
    <w:p/>
    <w:p>
      <w:pPr>
        <w:pStyle w:val="Heading2"/>
        <w:spacing w:after="120" w:before="240"/>
      </w:pPr>
      <w:r>
        <w:t xml:space="preserve">Appendix F — Sources</w:t>
      </w:r>
    </w:p>
    <w:p>
      <w:r>
        <w:t xml:space="preserve">All sourced (non-assumption) figures in this case are cited here. Sources marked "supplemental" inform the basis column of a Modeling Assumption above rather than supplying a value used directly in this case's arithmetic.</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85"/>
        <w:gridCol w:w="1285"/>
        <w:gridCol w:w="1285"/>
        <w:gridCol w:w="1285"/>
        <w:gridCol w:w="1285"/>
        <w:gridCol w:w="1285"/>
        <w:gridCol w:w="1285"/>
      </w:tblGrid>
      <w:tr>
        <w:tc>
          <w:tcPr>
            <w:tcW w:type="dxa" w:w="1285"/>
            <w:shd w:fill="DDDDDD" w:val="clear"/>
          </w:tcPr>
          <w:p>
            <w:r>
              <w:t xml:space="preserve">#</w:t>
            </w:r>
          </w:p>
        </w:tc>
        <w:tc>
          <w:tcPr>
            <w:tcW w:type="dxa" w:w="1285"/>
            <w:shd w:fill="DDDDDD" w:val="clear"/>
          </w:tcPr>
          <w:p>
            <w:r>
              <w:t xml:space="preserve">Claim</w:t>
            </w:r>
          </w:p>
        </w:tc>
        <w:tc>
          <w:tcPr>
            <w:tcW w:type="dxa" w:w="1285"/>
            <w:shd w:fill="DDDDDD" w:val="clear"/>
          </w:tcPr>
          <w:p>
            <w:r>
              <w:t xml:space="preserve">Value</w:t>
            </w:r>
          </w:p>
        </w:tc>
        <w:tc>
          <w:tcPr>
            <w:tcW w:type="dxa" w:w="1285"/>
            <w:shd w:fill="DDDDDD" w:val="clear"/>
          </w:tcPr>
          <w:p>
            <w:r>
              <w:t xml:space="preserve">Source</w:t>
            </w:r>
          </w:p>
        </w:tc>
        <w:tc>
          <w:tcPr>
            <w:tcW w:type="dxa" w:w="1285"/>
            <w:shd w:fill="DDDDDD" w:val="clear"/>
          </w:tcPr>
          <w:p>
            <w:r>
              <w:t xml:space="preserve">Date</w:t>
            </w:r>
          </w:p>
        </w:tc>
        <w:tc>
          <w:tcPr>
            <w:tcW w:type="dxa" w:w="1285"/>
            <w:shd w:fill="DDDDDD" w:val="clear"/>
          </w:tcPr>
          <w:p>
            <w:r>
              <w:t xml:space="preserve">Confidence</w:t>
            </w:r>
          </w:p>
        </w:tc>
        <w:tc>
          <w:tcPr>
            <w:tcW w:type="dxa" w:w="1285"/>
            <w:shd w:fill="DDDDDD" w:val="clear"/>
          </w:tcPr>
          <w:p>
            <w:r>
              <w:t xml:space="preserve"/>
            </w:r>
          </w:p>
        </w:tc>
      </w:tr>
      <w:tr>
        <w:tc>
          <w:tcPr>
            <w:tcW w:type="dxa" w:w="1285"/>
          </w:tcPr>
          <w:p>
            <w:r>
              <w:t xml:space="preserve">S1</w:t>
            </w:r>
          </w:p>
        </w:tc>
        <w:tc>
          <w:tcPr>
            <w:tcW w:type="dxa" w:w="1285"/>
          </w:tcPr>
          <w:p>
            <w:r>
              <w:t xml:space="preserve">Health &amp; Fitness category Google Ads average CPC and average conversion rate</w:t>
            </w:r>
          </w:p>
        </w:tc>
        <w:tc>
          <w:tcPr>
            <w:tcW w:type="dxa" w:w="1285"/>
          </w:tcPr>
          <w:p>
            <w:r>
              <w:t xml:space="preserve">CPC $5.00; CVR 6.8%</w:t>
            </w:r>
          </w:p>
        </w:tc>
        <w:tc>
          <w:tcPr>
            <w:tcW w:type="dxa" w:w="1285"/>
          </w:tcPr>
          <w:p>
            <w:r>
              <w:t xml:space="preserve">PPC Chief — </w:t>
            </w:r>
            <w:hyperlink w:history="1" r:id="rIdkbps7x5lkzygd5kkaplw4">
              <w:r>
                <w:rPr>
                  <w:rStyle w:val="Hyperlink"/>
                </w:rPr>
                <w:t xml:space="preserve">Health &amp; Fitness Google Ads Benchmarks</w:t>
              </w:r>
            </w:hyperlink>
          </w:p>
        </w:tc>
        <w:tc>
          <w:tcPr>
            <w:tcW w:type="dxa" w:w="1285"/>
          </w:tcPr>
          <w:p>
            <w:r>
              <w:t xml:space="preserve">updated 18 Feb 2026</w:t>
            </w:r>
          </w:p>
        </w:tc>
        <w:tc>
          <w:tcPr>
            <w:tcW w:type="dxa" w:w="1285"/>
          </w:tcPr>
          <w:p>
            <w:r>
              <w:t xml:space="preserve">MEDIUM</w:t>
            </w:r>
          </w:p>
        </w:tc>
        <w:tc>
          <w:tcPr>
            <w:tcW w:type="dxa" w:w="1285"/>
          </w:tcPr>
          <w:p>
            <w:r>
              <w:t xml:space="preserve"/>
            </w:r>
          </w:p>
        </w:tc>
      </w:tr>
      <w:tr>
        <w:tc>
          <w:tcPr>
            <w:tcW w:type="dxa" w:w="1285"/>
          </w:tcPr>
          <w:p>
            <w:r>
              <w:t xml:space="preserve">S2</w:t>
            </w:r>
          </w:p>
        </w:tc>
        <w:tc>
          <w:tcPr>
            <w:tcW w:type="dxa" w:w="1285"/>
          </w:tcPr>
          <w:p>
            <w:r>
              <w:t xml:space="preserve">Cable TV CPM range; niche cable channel per-spot cost range</w:t>
            </w:r>
          </w:p>
        </w:tc>
        <w:tc>
          <w:tcPr>
            <w:tcW w:type="dxa" w:w="1285"/>
          </w:tcPr>
          <w:p>
            <w:r>
              <w:t xml:space="preserve">$10–$30 CPM; $1,000–$20,000 per 30-second spot (niche cable)</w:t>
            </w:r>
          </w:p>
        </w:tc>
        <w:tc>
          <w:tcPr>
            <w:tcW w:type="dxa" w:w="1285"/>
          </w:tcPr>
          <w:p>
            <w:r>
              <w:t xml:space="preserve">Vidico — </w:t>
            </w:r>
            <w:hyperlink w:history="1" r:id="rIdqmvruqj5kxjmy0tc50vky">
              <w:r>
                <w:rPr>
                  <w:rStyle w:val="Hyperlink"/>
                </w:rPr>
                <w:t xml:space="preserve">How Much Does a 30-Second Commercial Cost? 2026 Pricing Breakdown</w:t>
              </w:r>
            </w:hyperlink>
          </w:p>
        </w:tc>
        <w:tc>
          <w:tcPr>
            <w:tcW w:type="dxa" w:w="1285"/>
          </w:tcPr>
          <w:p>
            <w:r>
              <w:t xml:space="preserve">2026</w:t>
            </w:r>
          </w:p>
        </w:tc>
        <w:tc>
          <w:tcPr>
            <w:tcW w:type="dxa" w:w="1285"/>
          </w:tcPr>
          <w:p>
            <w:r>
              <w:t xml:space="preserve">MEDIUM</w:t>
            </w:r>
          </w:p>
        </w:tc>
        <w:tc>
          <w:tcPr>
            <w:tcW w:type="dxa" w:w="1285"/>
          </w:tcPr>
          <w:p>
            <w:r>
              <w:t xml:space="preserve"/>
            </w:r>
          </w:p>
        </w:tc>
      </w:tr>
      <w:tr>
        <w:tc>
          <w:tcPr>
            <w:tcW w:type="dxa" w:w="1285"/>
          </w:tcPr>
          <w:p>
            <w:r>
              <w:t xml:space="preserve">S3</w:t>
            </w:r>
          </w:p>
        </w:tc>
        <w:tc>
          <w:tcPr>
            <w:tcW w:type="dxa" w:w="1285"/>
          </w:tcPr>
          <w:p>
            <w:r>
              <w:t xml:space="preserve">Radio advertising weekly package cost by market size; podcast CPM range (for comparison)</w:t>
            </w:r>
          </w:p>
        </w:tc>
        <w:tc>
          <w:tcPr>
            <w:tcW w:type="dxa" w:w="1285"/>
          </w:tcPr>
          <w:p>
            <w:r>
              <w:t xml:space="preserve">Radio: $900–$2,000/week (small market), $2,500–$5,000/week (medium market), $5,000–$8,000+/week (large market). Podcast: $12–$55 CPM, most paying $15–$30</w:t>
            </w:r>
          </w:p>
        </w:tc>
        <w:tc>
          <w:tcPr>
            <w:tcW w:type="dxa" w:w="1285"/>
          </w:tcPr>
          <w:p>
            <w:r>
              <w:t xml:space="preserve">AudioGo — </w:t>
            </w:r>
            <w:hyperlink w:history="1" r:id="rId-pbeslhincn20o9m6txqq">
              <w:r>
                <w:rPr>
                  <w:rStyle w:val="Hyperlink"/>
                </w:rPr>
                <w:t xml:space="preserve">Podcast Advertising Rates 2026</w:t>
              </w:r>
            </w:hyperlink>
          </w:p>
        </w:tc>
        <w:tc>
          <w:tcPr>
            <w:tcW w:type="dxa" w:w="1285"/>
          </w:tcPr>
          <w:p>
            <w:r>
              <w:t xml:space="preserve">10 Aug 2026</w:t>
            </w:r>
          </w:p>
        </w:tc>
        <w:tc>
          <w:tcPr>
            <w:tcW w:type="dxa" w:w="1285"/>
          </w:tcPr>
          <w:p>
            <w:r>
              <w:t xml:space="preserve">MEDIUM</w:t>
            </w:r>
          </w:p>
        </w:tc>
        <w:tc>
          <w:tcPr>
            <w:tcW w:type="dxa" w:w="1285"/>
          </w:tcPr>
          <w:p>
            <w:r>
              <w:t xml:space="preserve"/>
            </w:r>
          </w:p>
        </w:tc>
      </w:tr>
      <w:tr>
        <w:tc>
          <w:tcPr>
            <w:tcW w:type="dxa" w:w="1285"/>
          </w:tcPr>
          <w:p>
            <w:r>
              <w:t xml:space="preserve">S4</w:t>
            </w:r>
          </w:p>
        </w:tc>
        <w:tc>
          <w:tcPr>
            <w:tcW w:type="dxa" w:w="1285"/>
          </w:tcPr>
          <w:p>
            <w:r>
              <w:t xml:space="preserve">Magazine advertising CPM by circulation tier</w:t>
            </w:r>
          </w:p>
        </w:tc>
        <w:tc>
          <w:tcPr>
            <w:tcW w:type="dxa" w:w="1285"/>
          </w:tcPr>
          <w:p>
            <w:r>
              <w:t xml:space="preserve">$22 CPM (million-circulation); $63 CPM (100,000-circulation)</w:t>
            </w:r>
          </w:p>
        </w:tc>
        <w:tc>
          <w:tcPr>
            <w:tcW w:type="dxa" w:w="1285"/>
          </w:tcPr>
          <w:p>
            <w:r>
              <w:t xml:space="preserve">MediaMax Network — </w:t>
            </w:r>
            <w:hyperlink w:history="1" r:id="rId25tq40f6cej3f0ursw7rl">
              <w:r>
                <w:rPr>
                  <w:rStyle w:val="Hyperlink"/>
                </w:rPr>
                <w:t xml:space="preserve">Getting the Best Deals on Magazine Advertisement Rates</w:t>
              </w:r>
            </w:hyperlink>
            <w:r>
              <w:t xml:space="preserve">, citing the Association of Magazine Media</w:t>
            </w:r>
          </w:p>
        </w:tc>
        <w:tc>
          <w:tcPr>
            <w:tcW w:type="dxa" w:w="1285"/>
          </w:tcPr>
          <w:p>
            <w:r>
              <w:t xml:space="preserve">no publication date stated on page; accessed 11 Sep 2026</w:t>
            </w:r>
          </w:p>
        </w:tc>
        <w:tc>
          <w:tcPr>
            <w:tcW w:type="dxa" w:w="1285"/>
          </w:tcPr>
          <w:p>
            <w:r>
              <w:t xml:space="preserve">MEDIUM</w:t>
            </w:r>
          </w:p>
        </w:tc>
        <w:tc>
          <w:tcPr>
            <w:tcW w:type="dxa" w:w="1285"/>
          </w:tcPr>
          <w:p>
            <w:r>
              <w:t xml:space="preserve"/>
            </w:r>
          </w:p>
        </w:tc>
      </w:tr>
      <w:tr>
        <w:tc>
          <w:tcPr>
            <w:tcW w:type="dxa" w:w="1285"/>
          </w:tcPr>
          <w:p>
            <w:r>
              <w:t xml:space="preserve">S5</w:t>
            </w:r>
          </w:p>
        </w:tc>
        <w:tc>
          <w:tcPr>
            <w:tcW w:type="dxa" w:w="1285"/>
          </w:tcPr>
          <w:p>
            <w:r>
              <w:t xml:space="preserve">Seed-stage startup annual marketing budget range</w:t>
            </w:r>
          </w:p>
        </w:tc>
        <w:tc>
          <w:tcPr>
            <w:tcW w:type="dxa" w:w="1285"/>
          </w:tcPr>
          <w:p>
            <w:r>
              <w:t xml:space="preserve">$50,000–$250,000/year</w:t>
            </w:r>
          </w:p>
        </w:tc>
        <w:tc>
          <w:tcPr>
            <w:tcW w:type="dxa" w:w="1285"/>
          </w:tcPr>
          <w:p>
            <w:r>
              <w:t xml:space="preserve">GTM 8020 — </w:t>
            </w:r>
            <w:hyperlink w:history="1" r:id="rIdogdpzjyme8trpuiaf44bd">
              <w:r>
                <w:rPr>
                  <w:rStyle w:val="Hyperlink"/>
                </w:rPr>
                <w:t xml:space="preserve">38 Startup Marketing Budget Statistics Every Founder Needs in 2026</w:t>
              </w:r>
            </w:hyperlink>
          </w:p>
        </w:tc>
        <w:tc>
          <w:tcPr>
            <w:tcW w:type="dxa" w:w="1285"/>
          </w:tcPr>
          <w:p>
            <w:r>
              <w:t xml:space="preserve">2026</w:t>
            </w:r>
          </w:p>
        </w:tc>
        <w:tc>
          <w:tcPr>
            <w:tcW w:type="dxa" w:w="1285"/>
          </w:tcPr>
          <w:p>
            <w:r>
              <w:t xml:space="preserve">MEDIUM (supplemental — informs MA1's basis, not a Solstice Labs–specific figure)</w:t>
            </w:r>
          </w:p>
        </w:tc>
        <w:tc>
          <w:tcPr>
            <w:tcW w:type="dxa" w:w="1285"/>
          </w:tcPr>
          <w:p>
            <w:r>
              <w:t xml:space="preserve"/>
            </w:r>
          </w:p>
        </w:tc>
      </w:tr>
      <w:tr>
        <w:tc>
          <w:tcPr>
            <w:tcW w:type="dxa" w:w="1285"/>
          </w:tcPr>
          <w:p>
            <w:r>
              <w:t xml:space="preserve">S6</w:t>
            </w:r>
          </w:p>
        </w:tc>
        <w:tc>
          <w:tcPr>
            <w:tcW w:type="dxa" w:w="1285"/>
          </w:tcPr>
          <w:p>
            <w:r>
              <w:t xml:space="preserve">Median direct-to-consumer ecommerce site conversion rate</w:t>
            </w:r>
          </w:p>
        </w:tc>
        <w:tc>
          <w:tcPr>
            <w:tcW w:type="dxa" w:w="1285"/>
          </w:tcPr>
          <w:p>
            <w:r>
              <w:t xml:space="preserve">1.17% (middle 50%: 0.92%–1.52%)</w:t>
            </w:r>
          </w:p>
        </w:tc>
        <w:tc>
          <w:tcPr>
            <w:tcW w:type="dxa" w:w="1285"/>
          </w:tcPr>
          <w:p>
            <w:r>
              <w:t xml:space="preserve">Top Growth Marketing — </w:t>
            </w:r>
            <w:hyperlink w:history="1" r:id="rIdftma350ly3ntpsux0xejd">
              <w:r>
                <w:rPr>
                  <w:rStyle w:val="Hyperlink"/>
                </w:rPr>
                <w:t xml:space="preserve">Ecommerce Conversion Rate Benchmark 2026: DTC Median 1.17%</w:t>
              </w:r>
            </w:hyperlink>
            <w:r>
              <w:t xml:space="preserve">, 19 DTC stores, ~17.0M sessions, trailing 12 months ending Jun 2026</w:t>
            </w:r>
          </w:p>
        </w:tc>
        <w:tc>
          <w:tcPr>
            <w:tcW w:type="dxa" w:w="1285"/>
          </w:tcPr>
          <w:p>
            <w:r>
              <w:t xml:space="preserve">Jul 2025–Jun 2026</w:t>
            </w:r>
          </w:p>
        </w:tc>
        <w:tc>
          <w:tcPr>
            <w:tcW w:type="dxa" w:w="1285"/>
          </w:tcPr>
          <w:p>
            <w:r>
              <w:t xml:space="preserve">HIGH</w:t>
            </w:r>
          </w:p>
        </w:tc>
        <w:tc>
          <w:tcPr>
            <w:tcW w:type="dxa" w:w="1285"/>
          </w:tcPr>
          <w:p>
            <w:r>
              <w:t xml:space="preserve"/>
            </w:r>
          </w:p>
        </w:tc>
      </w:tr>
      <w:tr>
        <w:tc>
          <w:tcPr>
            <w:tcW w:type="dxa" w:w="1285"/>
          </w:tcPr>
          <w:p>
            <w:r>
              <w:t xml:space="preserve">S7</w:t>
            </w:r>
          </w:p>
        </w:tc>
        <w:tc>
          <w:tcPr>
            <w:tcW w:type="dxa" w:w="1285"/>
          </w:tcPr>
          <w:p>
            <w:r>
              <w:t xml:space="preserve">D2C subscription brand trial-to-paid conversion rate, by performance tier</w:t>
            </w:r>
          </w:p>
        </w:tc>
        <w:tc>
          <w:tcPr>
            <w:tcW w:type="dxa" w:w="1285"/>
          </w:tcPr>
          <w:p>
            <w:r>
              <w:t xml:space="preserve">Leaders 66.1%; Average 52.0%; Followers 35.8%</w:t>
            </w:r>
          </w:p>
        </w:tc>
        <w:tc>
          <w:tcPr>
            <w:tcW w:type="dxa" w:w="1285"/>
          </w:tcPr>
          <w:p>
            <w:r>
              <w:t xml:space="preserve">Cleeng — </w:t>
            </w:r>
            <w:hyperlink w:history="1" r:id="rIdcdhuaikvtczenl9nt55b5">
              <w:r>
                <w:rPr>
                  <w:rStyle w:val="Hyperlink"/>
                </w:rPr>
                <w:t xml:space="preserve">5 Benchmarks for Better Subscription Conversion</w:t>
              </w:r>
            </w:hyperlink>
          </w:p>
        </w:tc>
        <w:tc>
          <w:tcPr>
            <w:tcW w:type="dxa" w:w="1285"/>
          </w:tcPr>
          <w:p>
            <w:r>
              <w:t xml:space="preserve">2026</w:t>
            </w:r>
          </w:p>
        </w:tc>
        <w:tc>
          <w:tcPr>
            <w:tcW w:type="dxa" w:w="1285"/>
          </w:tcPr>
          <w:p>
            <w:r>
              <w:t xml:space="preserve">MEDIUM</w:t>
            </w:r>
          </w:p>
        </w:tc>
        <w:tc>
          <w:tcPr>
            <w:tcW w:type="dxa" w:w="1285"/>
          </w:tcPr>
          <w:p>
            <w:r>
              <w:t xml:space="preserve"/>
            </w:r>
          </w:p>
        </w:tc>
      </w:tr>
      <w:tr>
        <w:tc>
          <w:tcPr>
            <w:tcW w:type="dxa" w:w="1285"/>
          </w:tcPr>
          <w:p>
            <w:r>
              <w:t xml:space="preserve">S8</w:t>
            </w:r>
          </w:p>
        </w:tc>
        <w:tc>
          <w:tcPr>
            <w:tcW w:type="dxa" w:w="1285"/>
          </w:tcPr>
          <w:p>
            <w:r>
              <w:t xml:space="preserve">TV vs. digital advertising brand-awareness lift</w:t>
            </w:r>
          </w:p>
        </w:tc>
        <w:tc>
          <w:tcPr>
            <w:tcW w:type="dxa" w:w="1285"/>
          </w:tcPr>
          <w:p>
            <w:r>
              <w:t xml:space="preserve">TV 23% lift; digital 9% lift</w:t>
            </w:r>
          </w:p>
        </w:tc>
        <w:tc>
          <w:tcPr>
            <w:tcW w:type="dxa" w:w="1285"/>
          </w:tcPr>
          <w:p>
            <w:r>
              <w:t xml:space="preserve">AdWave — </w:t>
            </w:r>
            <w:hyperlink w:history="1" r:id="rIdj19s3ml1x4unhtkieiqag">
              <w:r>
                <w:rPr>
                  <w:rStyle w:val="Hyperlink"/>
                </w:rPr>
                <w:t xml:space="preserve">How effective is TV for brand awareness? (Q4 2025)</w:t>
              </w:r>
            </w:hyperlink>
            <w:r>
              <w:t xml:space="preserve">, citing Nielsen</w:t>
            </w:r>
          </w:p>
        </w:tc>
        <w:tc>
          <w:tcPr>
            <w:tcW w:type="dxa" w:w="1285"/>
          </w:tcPr>
          <w:p>
            <w:r>
              <w:t xml:space="preserve">2025</w:t>
            </w:r>
          </w:p>
        </w:tc>
        <w:tc>
          <w:tcPr>
            <w:tcW w:type="dxa" w:w="1285"/>
          </w:tcPr>
          <w:p>
            <w:r>
              <w:t xml:space="preserve">MEDIUM (supplemental — informs MA6's basis)</w:t>
            </w:r>
          </w:p>
        </w:tc>
        <w:tc>
          <w:tcPr>
            <w:tcW w:type="dxa" w:w="1285"/>
          </w:tcPr>
          <w:p>
            <w:r>
              <w:t xml:space="preserve"/>
            </w:r>
          </w:p>
        </w:tc>
      </w:tr>
      <w:tr>
        <w:tc>
          <w:tcPr>
            <w:tcW w:type="dxa" w:w="1285"/>
          </w:tcPr>
          <w:p>
            <w:r>
              <w:t xml:space="preserve">S9</w:t>
            </w:r>
          </w:p>
        </w:tc>
        <w:tc>
          <w:tcPr>
            <w:tcW w:type="dxa" w:w="1285"/>
          </w:tcPr>
          <w:p>
            <w:r>
              <w:t xml:space="preserve">Definitions of CPM (cost per thousand) and CPP (cost per ratings point) for radio</w:t>
            </w:r>
          </w:p>
        </w:tc>
        <w:tc>
          <w:tcPr>
            <w:tcW w:type="dxa" w:w="1285"/>
          </w:tcPr>
          <w:p>
            <w:r>
              <w:t xml:space="preserve">definitions only</w:t>
            </w:r>
          </w:p>
        </w:tc>
        <w:tc>
          <w:tcPr>
            <w:tcW w:type="dxa" w:w="1285"/>
          </w:tcPr>
          <w:p>
            <w:r>
              <w:t xml:space="preserve">Radio Advertising Home — </w:t>
            </w:r>
            <w:hyperlink w:history="1" r:id="rIdguy5vclei5i29p2pjpzvn">
              <w:r>
                <w:rPr>
                  <w:rStyle w:val="Hyperlink"/>
                </w:rPr>
                <w:t xml:space="preserve">Radio Advertising Rates Glossary and Benchmarks</w:t>
              </w:r>
            </w:hyperlink>
          </w:p>
        </w:tc>
        <w:tc>
          <w:tcPr>
            <w:tcW w:type="dxa" w:w="1285"/>
          </w:tcPr>
          <w:p>
            <w:r>
              <w:t xml:space="preserve">2026</w:t>
            </w:r>
          </w:p>
        </w:tc>
        <w:tc>
          <w:tcPr>
            <w:tcW w:type="dxa" w:w="1285"/>
          </w:tcPr>
          <w:p>
            <w:r>
              <w:t xml:space="preserve">MEDIUM (supplemental — vocabulary only, no case value)</w:t>
            </w:r>
          </w:p>
        </w:tc>
        <w:tc>
          <w:tcPr>
            <w:tcW w:type="dxa" w:w="1285"/>
          </w:tcPr>
          <w:p>
            <w:r>
              <w:t xml:space="preserve"/>
            </w:r>
          </w:p>
        </w:tc>
      </w:tr>
      <w:tr>
        <w:tc>
          <w:tcPr>
            <w:tcW w:type="dxa" w:w="1285"/>
          </w:tcPr>
          <w:p>
            <w:r>
              <w:t xml:space="preserve">S10</w:t>
            </w:r>
          </w:p>
        </w:tc>
        <w:tc>
          <w:tcPr>
            <w:tcW w:type="dxa" w:w="1285"/>
          </w:tcPr>
          <w:p>
            <w:r>
              <w:t xml:space="preserve">Smart water bottle category market size, forecast, and North America share</w:t>
            </w:r>
          </w:p>
        </w:tc>
        <w:tc>
          <w:tcPr>
            <w:tcW w:type="dxa" w:w="1285"/>
          </w:tcPr>
          <w:p>
            <w:r>
              <w:t xml:space="preserve">$550.99M (2025); $585.65M (2026) to $1,043.88B (2034), 7.49% CAGR; North America 37.79% share (~$208.22M, 2025)</w:t>
            </w:r>
          </w:p>
        </w:tc>
        <w:tc>
          <w:tcPr>
            <w:tcW w:type="dxa" w:w="1285"/>
          </w:tcPr>
          <w:p>
            <w:r>
              <w:t xml:space="preserve">Fortune Business Insights — [Smart Water Bottle Market Size, Share \</w:t>
            </w:r>
          </w:p>
        </w:tc>
        <w:tc>
          <w:tcPr>
            <w:tcW w:type="dxa" w:w="1285"/>
          </w:tcPr>
          <w:p>
            <w:r>
              <w:t xml:space="preserve">Growth Forecast [2034]](https://www.fortunebusinessinsights.com/smart-water-bottle-market-115917)</w:t>
            </w:r>
          </w:p>
        </w:tc>
        <w:tc>
          <w:tcPr>
            <w:tcW w:type="dxa" w:w="1285"/>
          </w:tcPr>
          <w:p>
            <w:r>
              <w:t xml:space="preserve">2025/2026 report</w:t>
            </w:r>
          </w:p>
        </w:tc>
        <w:tc>
          <w:tcPr>
            <w:tcW w:type="dxa" w:w="1285"/>
          </w:tcPr>
          <w:p>
            <w:r>
              <w:t xml:space="preserve">MEDIUM (supplemental — category-level market context, not a case-arithmetic input)</w:t>
            </w:r>
          </w:p>
        </w:tc>
      </w:tr>
      <w:tr>
        <w:tc>
          <w:tcPr>
            <w:tcW w:type="dxa" w:w="1285"/>
          </w:tcPr>
          <w:p>
            <w:r>
              <w:t xml:space="preserve">S11</w:t>
            </w:r>
          </w:p>
        </w:tc>
        <w:tc>
          <w:tcPr>
            <w:tcW w:type="dxa" w:w="1285"/>
          </w:tcPr>
          <w:p>
            <w:r>
              <w:t xml:space="preserve">Smartwatch/wearable ownership, U.S. adults overall vs. ages 18–49</w:t>
            </w:r>
          </w:p>
        </w:tc>
        <w:tc>
          <w:tcPr>
            <w:tcW w:type="dxa" w:w="1285"/>
          </w:tcPr>
          <w:p>
            <w:r>
              <w:t xml:space="preserve">37% (all U.S. adults); 44% (ages 18–49)</w:t>
            </w:r>
          </w:p>
        </w:tc>
        <w:tc>
          <w:tcPr>
            <w:tcW w:type="dxa" w:w="1285"/>
          </w:tcPr>
          <w:p>
            <w:r>
              <w:t xml:space="preserve">Sonar Health — </w:t>
            </w:r>
            <w:hyperlink w:history="1" r:id="rIdy0stlwwdua0e-zml8mml3">
              <w:r>
                <w:rPr>
                  <w:rStyle w:val="Hyperlink"/>
                </w:rPr>
                <w:t xml:space="preserve">Wearable Adoption Snapshot for 2026</w:t>
              </w:r>
            </w:hyperlink>
            <w:r>
              <w:t xml:space="preserve">, citing a 2026 Pew Research Center survey</w:t>
            </w:r>
          </w:p>
        </w:tc>
        <w:tc>
          <w:tcPr>
            <w:tcW w:type="dxa" w:w="1285"/>
          </w:tcPr>
          <w:p>
            <w:r>
              <w:t xml:space="preserve">2026</w:t>
            </w:r>
          </w:p>
        </w:tc>
        <w:tc>
          <w:tcPr>
            <w:tcW w:type="dxa" w:w="1285"/>
          </w:tcPr>
          <w:p>
            <w:r>
              <w:t xml:space="preserve">MEDIUM (supplemental — informs Appendix B's market-context discussion, not a case-arithmetic input)</w:t>
            </w:r>
          </w:p>
        </w:tc>
        <w:tc>
          <w:tcPr>
            <w:tcW w:type="dxa" w:w="1285"/>
          </w:tcPr>
          <w:p>
            <w:r>
              <w:t xml:space="preserve"/>
            </w:r>
          </w:p>
        </w:tc>
      </w:tr>
      <w:tr>
        <w:tc>
          <w:tcPr>
            <w:tcW w:type="dxa" w:w="1285"/>
          </w:tcPr>
          <w:p>
            <w:r>
              <w:t xml:space="preserve">S12</w:t>
            </w:r>
          </w:p>
        </w:tc>
        <w:tc>
          <w:tcPr>
            <w:tcW w:type="dxa" w:w="1285"/>
          </w:tcPr>
          <w:p>
            <w:r>
              <w:t xml:space="preserve">Gen Z/Millennial vs. 58+ share of U.S. population and of U.S. wellness spending</w:t>
            </w:r>
          </w:p>
        </w:tc>
        <w:tc>
          <w:tcPr>
            <w:tcW w:type="dxa" w:w="1285"/>
          </w:tcPr>
          <w:p>
            <w:r>
              <w:t xml:space="preserve">Gen Z + Millennials: ~36% of population, ~41% of wellness spending; 58+: ~35% of population, ~28% of wellness spending</w:t>
            </w:r>
          </w:p>
        </w:tc>
        <w:tc>
          <w:tcPr>
            <w:tcW w:type="dxa" w:w="1285"/>
          </w:tcPr>
          <w:p>
            <w:r>
              <w:t xml:space="preserve">eMarketer — </w:t>
            </w:r>
            <w:hyperlink w:history="1" r:id="rIdyl-0tcd6ussdxzgorg7kj">
              <w:r>
                <w:rPr>
                  <w:rStyle w:val="Hyperlink"/>
                </w:rPr>
                <w:t xml:space="preserve">Gen Z, millennials spend more on wellness than older demos</w:t>
              </w:r>
            </w:hyperlink>
            <w:r>
              <w:t xml:space="preserve">, citing McKinsey's Future of Wellness survey (9,000+ consumers, US/UK/Germany/China)</w:t>
            </w:r>
          </w:p>
        </w:tc>
        <w:tc>
          <w:tcPr>
            <w:tcW w:type="dxa" w:w="1285"/>
          </w:tcPr>
          <w:p>
            <w:r>
              <w:t xml:space="preserve">18 Jun 2025</w:t>
            </w:r>
          </w:p>
        </w:tc>
        <w:tc>
          <w:tcPr>
            <w:tcW w:type="dxa" w:w="1285"/>
          </w:tcPr>
          <w:p>
            <w:r>
              <w:t xml:space="preserve">MEDIUM (supplemental — informs Appendix B's market-context discussion, not a case-arithmetic input)</w:t>
            </w:r>
          </w:p>
        </w:tc>
        <w:tc>
          <w:tcPr>
            <w:tcW w:type="dxa" w:w="1285"/>
          </w:tcPr>
          <w:p>
            <w:r>
              <w:t xml:space="preserve"/>
            </w:r>
          </w:p>
        </w:tc>
      </w:tr>
      <w:tr>
        <w:tc>
          <w:tcPr>
            <w:tcW w:type="dxa" w:w="1285"/>
          </w:tcPr>
          <w:p>
            <w:r>
              <w:t xml:space="preserve">S13</w:t>
            </w:r>
          </w:p>
        </w:tc>
        <w:tc>
          <w:tcPr>
            <w:tcW w:type="dxa" w:w="1285"/>
          </w:tcPr>
          <w:p>
            <w:r>
              <w:t xml:space="preserve">Health &amp; Fitness app-category trial-to-paid and install-to-trial subscription benchmarks</w:t>
            </w:r>
          </w:p>
        </w:tc>
        <w:tc>
          <w:tcPr>
            <w:tcW w:type="dxa" w:w="1285"/>
          </w:tcPr>
          <w:p>
            <w:r>
              <w:t xml:space="preserve">Trial-to-paid 42.2% (weekly subscriptions w/ trial); install-to-trial 9.5% (global), 14.5% (North America)</w:t>
            </w:r>
          </w:p>
        </w:tc>
        <w:tc>
          <w:tcPr>
            <w:tcW w:type="dxa" w:w="1285"/>
          </w:tcPr>
          <w:p>
            <w:r>
              <w:t xml:space="preserve">Adapty — </w:t>
            </w:r>
            <w:hyperlink w:history="1" r:id="rIdjjqunrzcqbckjpjs5tv7x">
              <w:r>
                <w:rPr>
                  <w:rStyle w:val="Hyperlink"/>
                </w:rPr>
                <w:t xml:space="preserve">State of In-App Subscriptions 2026</w:t>
              </w:r>
            </w:hyperlink>
            <w:r>
              <w:t xml:space="preserve">, 16,000+ apps, $3B+ subscription revenue analyzed</w:t>
            </w:r>
          </w:p>
        </w:tc>
        <w:tc>
          <w:tcPr>
            <w:tcW w:type="dxa" w:w="1285"/>
          </w:tcPr>
          <w:p>
            <w:r>
              <w:t xml:space="preserve">27 Mar 2026</w:t>
            </w:r>
          </w:p>
        </w:tc>
        <w:tc>
          <w:tcPr>
            <w:tcW w:type="dxa" w:w="1285"/>
          </w:tcPr>
          <w:p>
            <w:r>
              <w:t xml:space="preserve">MEDIUM (supplemental — cross-checks MA9's tier assignment, not used directly in case arithmetic)</w:t>
            </w:r>
          </w:p>
        </w:tc>
        <w:tc>
          <w:tcPr>
            <w:tcW w:type="dxa" w:w="1285"/>
          </w:tcPr>
          <w:p>
            <w:r>
              <w:t xml:space="preserve"/>
            </w:r>
          </w:p>
        </w:tc>
      </w:tr>
      <w:tr>
        <w:tc>
          <w:tcPr>
            <w:tcW w:type="dxa" w:w="1285"/>
          </w:tcPr>
          <w:p>
            <w:r>
              <w:t xml:space="preserve">S14</w:t>
            </w:r>
          </w:p>
        </w:tc>
        <w:tc>
          <w:tcPr>
            <w:tcW w:type="dxa" w:w="1285"/>
          </w:tcPr>
          <w:p>
            <w:r>
              <w:t xml:space="preserve">National linear broadcast TV CPM; live-sports streaming CPM; local broadcast CPM</w:t>
            </w:r>
          </w:p>
        </w:tc>
        <w:tc>
          <w:tcPr>
            <w:tcW w:type="dxa" w:w="1285"/>
          </w:tcPr>
          <w:p>
            <w:r>
              <w:t xml:space="preserve">Linear national broadcast $25–$40 CPM; live sports (streaming) $40–$80+ CPM; linear local broadcast $5–$15 CPM</w:t>
            </w:r>
          </w:p>
        </w:tc>
        <w:tc>
          <w:tcPr>
            <w:tcW w:type="dxa" w:w="1285"/>
          </w:tcPr>
          <w:p>
            <w:r>
              <w:t xml:space="preserve">Vibe — </w:t>
            </w:r>
            <w:hyperlink w:history="1" r:id="rIdfnzrinjhsdefuwychl71x">
              <w:r>
                <w:rPr>
                  <w:rStyle w:val="Hyperlink"/>
                </w:rPr>
                <w:t xml:space="preserve">How Much Does TV Advertising Cost in 2026?</w:t>
              </w:r>
            </w:hyperlink>
          </w:p>
        </w:tc>
        <w:tc>
          <w:tcPr>
            <w:tcW w:type="dxa" w:w="1285"/>
          </w:tcPr>
          <w:p>
            <w:r>
              <w:t xml:space="preserve">10 Jun 2026</w:t>
            </w:r>
          </w:p>
        </w:tc>
        <w:tc>
          <w:tcPr>
            <w:tcW w:type="dxa" w:w="1285"/>
          </w:tcPr>
          <w:p>
            <w:r>
              <w:t xml:space="preserve">MEDIUM — used directly to narrow MA3 (TV General CPM) to a broadcast-specific range instead of S2's shared cable range; the live-sports-streaming figure is supplemental, corroborating MA2's basis without replacing its cable-sourced value</w:t>
            </w:r>
          </w:p>
        </w:tc>
        <w:tc>
          <w:tcPr>
            <w:tcW w:type="dxa" w:w="1285"/>
          </w:tcPr>
          <w:p>
            <w:r>
              <w:t xml:space="preserve"/>
            </w:r>
          </w:p>
        </w:tc>
      </w:tr>
      <w:tr>
        <w:tc>
          <w:tcPr>
            <w:tcW w:type="dxa" w:w="1285"/>
          </w:tcPr>
          <w:p>
            <w:r>
              <w:t xml:space="preserve">S15</w:t>
            </w:r>
          </w:p>
        </w:tc>
        <w:tc>
          <w:tcPr>
            <w:tcW w:type="dxa" w:w="1285"/>
          </w:tcPr>
          <w:p>
            <w:r>
              <w:t xml:space="preserve">Broadcast vs. cable vs. local TV advertising CPM</w:t>
            </w:r>
          </w:p>
        </w:tc>
        <w:tc>
          <w:tcPr>
            <w:tcW w:type="dxa" w:w="1285"/>
          </w:tcPr>
          <w:p>
            <w:r>
              <w:t xml:space="preserve">Broadcast TV ~$47.14 CPM; cable TV ~$23.30 CPM (average); local TV ~$20 CPM</w:t>
            </w:r>
          </w:p>
        </w:tc>
        <w:tc>
          <w:tcPr>
            <w:tcW w:type="dxa" w:w="1285"/>
          </w:tcPr>
          <w:p>
            <w:r>
              <w:t xml:space="preserve">DesignRush — </w:t>
            </w:r>
            <w:hyperlink w:history="1" r:id="rIdaz0ntlrk3f27c_wwn8xjl">
              <w:r>
                <w:rPr>
                  <w:rStyle w:val="Hyperlink"/>
                </w:rPr>
                <w:t xml:space="preserve">TV Advertising Costs in 2026: A Complete Guide</w:t>
              </w:r>
            </w:hyperlink>
          </w:p>
        </w:tc>
        <w:tc>
          <w:tcPr>
            <w:tcW w:type="dxa" w:w="1285"/>
          </w:tcPr>
          <w:p>
            <w:r>
              <w:t xml:space="preserve">published 21 Jan 2025, updated 9 Dec 2025</w:t>
            </w:r>
          </w:p>
        </w:tc>
        <w:tc>
          <w:tcPr>
            <w:tcW w:type="dxa" w:w="1285"/>
          </w:tcPr>
          <w:p>
            <w:r>
              <w:t xml:space="preserve">MEDIUM (supplemental — corroborates MA3's new value and the broadcast-costs-more-than-cable direction; not used as the value itself since S14 is more recent and specifically broadcast-labeled)</w:t>
            </w:r>
          </w:p>
        </w:tc>
        <w:tc>
          <w:tcPr>
            <w:tcW w:type="dxa" w:w="1285"/>
          </w:tcPr>
          <w:p>
            <w:r>
              <w:t xml:space="preserve"/>
            </w:r>
          </w:p>
        </w:tc>
      </w:tr>
      <w:tr>
        <w:tc>
          <w:tcPr>
            <w:tcW w:type="dxa" w:w="1285"/>
          </w:tcPr>
          <w:p>
            <w:r>
              <w:t xml:space="preserve">S16</w:t>
            </w:r>
          </w:p>
        </w:tc>
        <w:tc>
          <w:tcPr>
            <w:tcW w:type="dxa" w:w="1285"/>
          </w:tcPr>
          <w:p>
            <w:r>
              <w:t xml:space="preserve">Average U.S. radio CPM across top markets; in-car/drive-time listening share</w:t>
            </w:r>
          </w:p>
        </w:tc>
        <w:tc>
          <w:tcPr>
            <w:tcW w:type="dxa" w:w="1285"/>
          </w:tcPr>
          <w:p>
            <w:r>
              <w:t xml:space="preserve">Radio $4.78 average CPM (top 50 U.S. markets); commuters spend 91.3% of in-car audio time on radio, averaging 52 min/day</w:t>
            </w:r>
          </w:p>
        </w:tc>
        <w:tc>
          <w:tcPr>
            <w:tcW w:type="dxa" w:w="1285"/>
          </w:tcPr>
          <w:p>
            <w:r>
              <w:t xml:space="preserve">Amra &amp; Elma — </w:t>
            </w:r>
            <w:hyperlink w:history="1" r:id="rId2aosbkssnkjxxdbbrlcyx">
              <w:r>
                <w:rPr>
                  <w:rStyle w:val="Hyperlink"/>
                </w:rPr>
                <w:t xml:space="preserve">Top 20 Radio Show Marketing Statistics 2026</w:t>
              </w:r>
            </w:hyperlink>
            <w:r>
              <w:t xml:space="preserve">, citing Westwood One's 2026 Cost-Efficiency Analysis and Arbitron's 2026 In-Car Audio Report</w:t>
            </w:r>
          </w:p>
        </w:tc>
        <w:tc>
          <w:tcPr>
            <w:tcW w:type="dxa" w:w="1285"/>
          </w:tcPr>
          <w:p>
            <w:r>
              <w:t xml:space="preserve">Mar 2026 analysis</w:t>
            </w:r>
          </w:p>
        </w:tc>
        <w:tc>
          <w:tcPr>
            <w:tcW w:type="dxa" w:w="1285"/>
          </w:tcPr>
          <w:p>
            <w:r>
              <w:t xml:space="preserve">MEDIUM (supplemental — corroborates MA4's basis; not used as a value since it is a cross-daypart average, not drive-time-specific, and sits below MA4's $10.00 assumption)</w:t>
            </w:r>
          </w:p>
        </w:tc>
        <w:tc>
          <w:tcPr>
            <w:tcW w:type="dxa" w:w="1285"/>
          </w:tcPr>
          <w:p>
            <w:r>
              <w:t xml:space="preserve"/>
            </w:r>
          </w:p>
        </w:tc>
      </w:tr>
      <w:tr>
        <w:tc>
          <w:tcPr>
            <w:tcW w:type="dxa" w:w="1285"/>
          </w:tcPr>
          <w:p>
            <w:r>
              <w:t xml:space="preserve">S17</w:t>
            </w:r>
          </w:p>
        </w:tc>
        <w:tc>
          <w:tcPr>
            <w:tcW w:type="dxa" w:w="1285"/>
          </w:tcPr>
          <w:p>
            <w:r>
              <w:t xml:space="preserve">Sports &amp; Fitness and Electronics &amp; Tech Google Ads Search CPC</w:t>
            </w:r>
          </w:p>
        </w:tc>
        <w:tc>
          <w:tcPr>
            <w:tcW w:type="dxa" w:w="1285"/>
          </w:tcPr>
          <w:p>
            <w:r>
              <w:t xml:space="preserve">Sports &amp; Fitness Search CPC $1.45; Electronics &amp; Tech Search CPC $1.85</w:t>
            </w:r>
          </w:p>
        </w:tc>
        <w:tc>
          <w:tcPr>
            <w:tcW w:type="dxa" w:w="1285"/>
          </w:tcPr>
          <w:p>
            <w:r>
              <w:t xml:space="preserve">Web Tonic — </w:t>
            </w:r>
            <w:hyperlink w:history="1" r:id="rIdedhkgwgag1x_xwcdda0ev">
              <w:r>
                <w:rPr>
                  <w:rStyle w:val="Hyperlink"/>
                </w:rPr>
                <w:t xml:space="preserve">E-commerce Google Ads Statistics &amp; Benchmarks (2026)</w:t>
              </w:r>
            </w:hyperlink>
          </w:p>
        </w:tc>
        <w:tc>
          <w:tcPr>
            <w:tcW w:type="dxa" w:w="1285"/>
          </w:tcPr>
          <w:p>
            <w:r>
              <w:t xml:space="preserve">published 18 Jul 2026, updated 4 Sep 2026</w:t>
            </w:r>
          </w:p>
        </w:tc>
        <w:tc>
          <w:tcPr>
            <w:tcW w:type="dxa" w:w="1285"/>
          </w:tcPr>
          <w:p>
            <w:r>
              <w:t xml:space="preserve">MEDIUM (supplemental — considered and rejected as a tighter/wearables-specific replacement for S1's SEO CPC; conflicts with S1 by more than 3x for adjacent categories and does not isolate wearables/connected-fitness hardware as its own line item)</w:t>
            </w:r>
          </w:p>
        </w:tc>
        <w:tc>
          <w:tcPr>
            <w:tcW w:type="dxa" w:w="1285"/>
          </w:tcPr>
          <w:p>
            <w:r>
              <w:t xml:space="preserve"/>
            </w:r>
          </w:p>
        </w:tc>
      </w:tr>
    </w:tbl>
    <w:p/>
    <w:p>
      <w:r>
        <w:rPr>
          <w:b/>
          <w:bCs/>
        </w:rPr>
        <w:t xml:space="preserve">Who these sources are:</w:t>
      </w:r>
      <w:r>
        <w:t xml:space="preserve"> PPC Chief is a paid-search agency that publishes an annual Google Ads benchmark report drawn from its own managed ad spend. Vidico and AudioGo are video/audio production and media-buying companies that publish current channel-cost guides for advertisers. MediaMax Network is a media-buying advisory site; its magazine CPM figures are attributed to the Association of Magazine Media, the print-magazine industry's own trade association. GTM 8020 is a go-to-market consultancy publishing startup marketing-spend statistics. Top Growth Marketing and Cleeng are ecommerce/subscription-analytics firms that publish benchmark reports drawn from their own client and platform data. AdWave is a TV-advertising analytics firm citing Nielsen, the media-measurement industry's primary ratings company. Fortune Business Insights is a market-research firm publishing paid industry sizing reports. Sonar Health is a health-tech analytics publisher citing Pew Research Center, a nonpartisan survey research organization. eMarketer is a market-research and news publisher citing McKinsey &amp; Company's own global consumer wellness survey. Adapty is a subscription-analytics platform publishing an annual benchmark report drawn from its own aggregated app-revenue data. Vibe is a connected-TV/programmatic ad-tech company publishing a channel-cost guide for advertisers that distinguishes linear broadcast from cable and streaming-sports inventory. DesignRush is an agency-directory and marketing-research publisher that aggregates TV-advertising cost guides. Amra &amp; Elma is a digital-marketing statistics publisher citing Westwood One (a national radio network and audience-data company) and Arbitron (a legacy audio-audience-measurement firm, now part of Nielsen). Web Tonic is an e-commerce marketing-analytics publisher that tracks Google Ads benchmarks by retail category.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kbps7x5lkzygd5kkaplw4" Type="http://schemas.openxmlformats.org/officeDocument/2006/relationships/hyperlink" Target="https://ppcchief.com/google-ads-benchmarks/health-fitness" TargetMode="External"/><Relationship Id="rIdqmvruqj5kxjmy0tc50vky" Type="http://schemas.openxmlformats.org/officeDocument/2006/relationships/hyperlink" Target="https://vidico.com/news/how-much-does-a-30-second-commercial-cost/" TargetMode="External"/><Relationship Id="rId-pbeslhincn20o9m6txqq" Type="http://schemas.openxmlformats.org/officeDocument/2006/relationships/hyperlink" Target="https://www.audiogo.com/blog/podcast-advertising-cost-and-rates" TargetMode="External"/><Relationship Id="rId25tq40f6cej3f0ursw7rl" Type="http://schemas.openxmlformats.org/officeDocument/2006/relationships/hyperlink" Target="https://mediamaxnetwork.com/industry-insights/magazine-advertisement-rates-how-to-get-the-best-deal/" TargetMode="External"/><Relationship Id="rIdogdpzjyme8trpuiaf44bd" Type="http://schemas.openxmlformats.org/officeDocument/2006/relationships/hyperlink" Target="https://www.gtm8020.com/blog/startup-marketing-budget-statistics" TargetMode="External"/><Relationship Id="rIdftma350ly3ntpsux0xejd" Type="http://schemas.openxmlformats.org/officeDocument/2006/relationships/hyperlink" Target="https://topgrowthmarketing.com/dtc-ecommerce-benchmarks/dtc-site-conversion-rate-2026/" TargetMode="External"/><Relationship Id="rIdcdhuaikvtczenl9nt55b5" Type="http://schemas.openxmlformats.org/officeDocument/2006/relationships/hyperlink" Target="https://blog.cleeng.com/subscription-conversion-benchmarks" TargetMode="External"/><Relationship Id="rIdj19s3ml1x4unhtkieiqag" Type="http://schemas.openxmlformats.org/officeDocument/2006/relationships/hyperlink" Target="https://adwave.com/resources/tv-brand-awareness-effectiveness" TargetMode="External"/><Relationship Id="rIdguy5vclei5i29p2pjpzvn" Type="http://schemas.openxmlformats.org/officeDocument/2006/relationships/hyperlink" Target="https://www.radioadvertisinghome.com/radio-advertising-rates-glossary-cost-benchmarks/" TargetMode="External"/><Relationship Id="rIdy0stlwwdua0e-zml8mml3" Type="http://schemas.openxmlformats.org/officeDocument/2006/relationships/hyperlink" Target="https://www.sonarhealth.co/blog/wearable-adoption-2026/" TargetMode="External"/><Relationship Id="rIdyl-0tcd6ussdxzgorg7kj" Type="http://schemas.openxmlformats.org/officeDocument/2006/relationships/hyperlink" Target="https://www.emarketer.com/content/gen-z--millennials-spend-more-on-wellness-products-than-older-cohorts" TargetMode="External"/><Relationship Id="rIdjjqunrzcqbckjpjs5tv7x" Type="http://schemas.openxmlformats.org/officeDocument/2006/relationships/hyperlink" Target="https://adapty.io/blog/health-fitness-app-subscription-benchmarks/" TargetMode="External"/><Relationship Id="rIdfnzrinjhsdefuwychl71x" Type="http://schemas.openxmlformats.org/officeDocument/2006/relationships/hyperlink" Target="https://www.vibe.co/blog/how-to/tv-advertising-cost" TargetMode="External"/><Relationship Id="rIdaz0ntlrk3f27c_wwn8xjl" Type="http://schemas.openxmlformats.org/officeDocument/2006/relationships/hyperlink" Target="https://www.designrush.com/agency/ad-agencies/trends/tv-advertising-cost" TargetMode="External"/><Relationship Id="rId2aosbkssnkjxxdbbrlcyx" Type="http://schemas.openxmlformats.org/officeDocument/2006/relationships/hyperlink" Target="https://www.amraandelma.com/radio-show-marketing-statistics/" TargetMode="External"/><Relationship Id="rIdedhkgwgag1x_xwcdda0ev" Type="http://schemas.openxmlformats.org/officeDocument/2006/relationships/hyperlink" Target="https://www.webtonic.io/blog/e-commerce-google-ads-statistics" TargetMode="External"/><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2026-09-12T03:47:01.512Z</dcterms:created>
  <dcterms:modified xsi:type="dcterms:W3CDTF">2026-09-12T03:47:01.518Z</dcterms:modified>
</cp:coreProperties>
</file>

<file path=docProps/custom.xml><?xml version="1.0" encoding="utf-8"?>
<Properties xmlns="http://schemas.openxmlformats.org/officeDocument/2006/custom-properties" xmlns:vt="http://schemas.openxmlformats.org/officeDocument/2006/docPropsVTypes"/>
</file>