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5b6472"/>
          <w:sz w:val="18"/>
          <w:szCs w:val="18"/>
        </w:rPr>
        <w:t xml:space="preserve">MS | Math | Case Study | 2026-27 | Heroes Academy</w:t>
      </w:r>
    </w:p>
    <w:p>
      <w:pPr>
        <w:spacing w:after="240"/>
      </w:pPr>
      <w:r>
        <w:rPr>
          <w:b/>
          <w:bCs/>
          <w:color w:val="1a3a5c"/>
          <w:sz w:val="40"/>
          <w:szCs w:val="40"/>
        </w:rPr>
        <w:t xml:space="preserve">Case Study: The Bandstand Angle</w:t>
      </w:r>
    </w:p>
    <w:p>
      <w:pPr>
        <w:pStyle w:val="Heading1"/>
        <w:pBdr>
          <w:bottom w:val="single" w:color="c9a227" w:sz="12" w:space="4"/>
        </w:pBdr>
        <w:spacing w:after="160" w:before="300"/>
      </w:pPr>
      <w:r>
        <w:rPr>
          <w:b/>
          <w:bCs/>
          <w:color w:val="1a3a5c"/>
          <w:sz w:val="30"/>
          <w:szCs w:val="30"/>
        </w:rPr>
        <w:t xml:space="preserve">Overview</w:t>
      </w:r>
    </w:p>
    <w:p>
      <w:pPr>
        <w:spacing w:after="160"/>
      </w:pPr>
      <w:r>
        <w:t xml:space="preserve">Tomas Reyes has the plat map spread across his kitchen table at eleven at night, a mechanical pencil behind his ear and a cold cup of coffee doing nothing for him anymore. He isn't paid for this. He's a licensed structural engineer by day, and for the last stretch of evenings he's been the volunteer the park committee found who could actually stamp a frame drawing himself.</w:t>
      </w:r>
    </w:p>
    <w:p>
      <w:pPr>
        <w:spacing w:after="160"/>
      </w:pPr>
      <w:r>
        <w:t xml:space="preserve">The matching grant is real money, and it disappears the moment the filing window closes. His phone buzzes on the table, face-down, and he already knows who it is before he flips it over — the committee chair, asking if the drawing is ready. It isn't.</w:t>
      </w:r>
    </w:p>
    <w:p>
      <w:pPr>
        <w:spacing w:after="160"/>
      </w:pPr>
      <w:r>
        <w:t xml:space="preserve">He'd assumed the surveyor would have the corner lot's boundary lines finished by now, a clean, current plat he could just trace a frame onto. Instead he's working from the parks department's decade-old plat, most of its corners freshly re-flagged by the crew that came out last month — except one, a corner near where the city shifted the curb line, that nobody has gotten back out to re-stake yet.</w:t>
      </w:r>
    </w:p>
    <w:p>
      <w:pPr>
        <w:spacing w:after="160"/>
      </w:pPr>
      <w:r>
        <w:t xml:space="preserve">Two frames are sketched on his legal pad. One is symmetric and forgiving — the kind of shape he could hand a crew and never get a call back about a bad cut. The other hugs the lot's actual boundary the way the committee's rendering promised the neighbors it would, and no two of its corners are the same.</w:t>
      </w:r>
    </w:p>
    <w:p>
      <w:pPr>
        <w:spacing w:after="160"/>
      </w:pPr>
      <w:r>
        <w:t xml:space="preserve">He looks at the blank signature line on the permit application that needs a stamped drawing by morning, uncaps his pencil, and starts measuring angles.</w:t>
      </w:r>
    </w:p>
    <w:p>
      <w:pPr>
        <w:pStyle w:val="Heading1"/>
        <w:pBdr>
          <w:bottom w:val="single" w:color="c9a227" w:sz="12" w:space="4"/>
        </w:pBdr>
        <w:spacing w:after="160" w:before="300"/>
      </w:pPr>
      <w:r>
        <w:rPr>
          <w:b/>
          <w:bCs/>
          <w:color w:val="1a3a5c"/>
          <w:sz w:val="30"/>
          <w:szCs w:val="30"/>
        </w:rPr>
        <w:t xml:space="preserve">Background</w:t>
      </w:r>
    </w:p>
    <w:p>
      <w:pPr>
        <w:spacing w:after="160"/>
      </w:pPr>
      <w:r>
        <w:t xml:space="preserve">Tomas Reyes is a licensed structural engineer and a volunteer member of the Elm Corner Park Committee, which raised the first half of the funding for a new open-air park bandstand — a small covered platform for concerts, meetings, and shade — on a corner lot the city donated. A matching grant covers the rest, but only if a permit application, with a stamped frame drawing, is filed by the end of the month. Tomas volunteered to draw the frame himself rather than pay a firm; his stamp is what makes the drawing permit-ready.</w:t>
      </w:r>
    </w:p>
    <w:p>
      <w:pPr>
        <w:spacing w:after="160"/>
      </w:pPr>
      <w:r>
        <w:t xml:space="preserve">The lot sits on a corner where two streets meet at something other than a clean right angle, and the buildable area left after the required setbacks is smaller and less regular than the lot itself (SEE APPENDIX B). The parks department's plat map is a decade old; a survey crew re-flagged five of the buildable envelope's six corners last month, but the sixth, along the side where the city recently shifted the curb line, has not been re-staked. Tomas has the other five corners' angles in hand and must work out the sixth himself before he can finish either drawing (SEE APPENDIX B).</w:t>
      </w:r>
    </w:p>
    <w:p>
      <w:pPr>
        <w:spacing w:after="160"/>
      </w:pPr>
      <w:r>
        <w:t xml:space="preserve">Two frame options are on the table for the same roof, held to the same pitch and the same dimension lumber so the comparison isolates the frame's shape, not its slope or lumber size (SEE APPENDIX A). Framing lumber is priced by the board-foot (SEE APPENDIX C), and every hip rafter and band board costs real material and, once cut, real crew time.</w:t>
      </w:r>
    </w:p>
    <w:p>
      <w:pPr>
        <w:spacing w:after="160"/>
      </w:pPr>
      <w:r>
        <w:t xml:space="preserve">The Even Eight frames the roof as a regular octagon: eight equal sides, eight equal interior angles, eight identical hip rafters, because every vertex sits the same plan-view distance from the frame's center. A crew marks one hip rafter as the pattern and batch-cuts the rest — but a regular octagon must fit inside the tightest part of the irregular buildable envelope, so it covers less of the lot than the envelope could actually hold.</w:t>
      </w:r>
    </w:p>
    <w:p>
      <w:pPr>
        <w:spacing w:after="160"/>
      </w:pPr>
      <w:r>
        <w:t xml:space="preserve">The Site Six frames the roof as an irregular hexagon fit to the envelope's own six corners — no two sides equal, no two interior angles equal, no two hip rafters the same run, rise, or length, since each vertex sits its own distance from the center. It captures more of the envelope than a regular shape can, but every hip rafter needs its own template and test-fit — there is no pattern to batch from.</w:t>
      </w:r>
    </w:p>
    <w:p>
      <w:pPr>
        <w:spacing w:after="160"/>
      </w:pPr>
      <w:r>
        <w:t xml:space="preserve">Both roofs rise at the same pitch to a small flat deck at the peak, not a single point, so each roof panel between two neighboring hip rafters is a four-sided shape (one polygon side at the bottom, the matching deck edge at the top, two hip-rafter segments as the slanted sides), not a triangle. The deck is identical hardware on both options and isn't part of the comparison; what differs is only whether each panel's two hip-rafter sides match in length.</w:t>
      </w:r>
    </w:p>
    <w:p>
      <w:pPr>
        <w:spacing w:after="160"/>
      </w:pPr>
      <w:r>
        <w:rPr>
          <w:sz w:val="22"/>
          <w:szCs w:val="22"/>
        </w:rPr>
        <w:t xml:space="preserve">The committee's own rendering, shown to the neighbors at the last public meeting, follows the lot's actual boundary — The Site Six. Whether that is worth what its non-identical rafters cost to fabricate, against The Even Eight's simpler build and smaller footprint, is the number Tomas has to defend before tomorrow's deadline. All figures here are sourced in Appendix F, or stated as a modeling assumption in Appendix E where no public figure applies to this constructed site. The vocabulary and “how to…” skills this case asks of you are listed in Appendix H, where Challenge 1 sends you. (SEE APPENDIX G for further reading.)</w:t>
      </w:r>
    </w:p>
    <w:p>
      <w:pPr>
        <w:pStyle w:val="Heading1"/>
        <w:pBdr>
          <w:bottom w:val="single" w:color="c9a227" w:sz="12" w:space="4"/>
        </w:pBdr>
        <w:spacing w:after="160" w:before="300"/>
      </w:pPr>
      <w:r>
        <w:rPr>
          <w:b/>
          <w:bCs/>
          <w:color w:val="1a3a5c"/>
          <w:sz w:val="30"/>
          <w:szCs w:val="30"/>
        </w:rPr>
        <w:t xml:space="preserve">Dilemma</w:t>
      </w:r>
    </w:p>
    <w:p>
      <w:pPr>
        <w:spacing w:after="160"/>
      </w:pPr>
      <w:r>
        <w:rPr>
          <w:b/>
          <w:bCs/>
        </w:rPr>
        <w:t xml:space="preserve">You are Tomas Reyes.</w:t>
      </w:r>
    </w:p>
    <w:p>
      <w:pPr>
        <w:spacing w:after="160"/>
      </w:pPr>
      <w:r>
        <w:t xml:space="preserve">Do you:</w:t>
      </w:r>
    </w:p>
    <w:p>
      <w:pPr>
        <w:spacing w:after="160"/>
        <w:ind w:left="360"/>
      </w:pPr>
      <w:r>
        <w:t xml:space="preserve">A.) Draft The Even Eight — a regular octagon frame, eight identical hip rafters, a smaller footprint</w:t>
      </w:r>
    </w:p>
    <w:p>
      <w:pPr>
        <w:spacing w:after="160"/>
        <w:ind w:left="360"/>
      </w:pPr>
      <w:r>
        <w:t xml:space="preserve">OR</w:t>
      </w:r>
    </w:p>
    <w:p>
      <w:pPr>
        <w:spacing w:after="160"/>
        <w:ind w:left="360"/>
      </w:pPr>
      <w:r>
        <w:t xml:space="preserve">B.) Draft The Site Six — an irregular hexagon frame fit to the lot's real boundary, six non-identical hip rafters, a larger footprint</w:t>
      </w:r>
    </w:p>
    <w:p>
      <w:pPr>
        <w:pStyle w:val="Heading1"/>
        <w:pBdr>
          <w:bottom w:val="single" w:color="c9a227" w:sz="12" w:space="4"/>
        </w:pBdr>
        <w:spacing w:after="160" w:before="300"/>
      </w:pPr>
      <w:r>
        <w:rPr>
          <w:b/>
          <w:bCs/>
          <w:color w:val="1a3a5c"/>
          <w:sz w:val="30"/>
          <w:szCs w:val="30"/>
        </w:rP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60"/>
        <w:ind w:left="360"/>
      </w:pPr>
      <w:r>
        <w:t xml:space="preserve">a.) Use of the “how to…” resource you researched in Challenge 1.</w:t>
      </w:r>
    </w:p>
    <w:p>
      <w:pPr>
        <w:spacing w:after="160"/>
        <w:ind w:left="360"/>
      </w:pPr>
      <w:r>
        <w:t xml:space="preserve">b.) At least one original visual display of the data.</w:t>
      </w:r>
    </w:p>
    <w:p>
      <w:pPr>
        <w:spacing w:after="160"/>
      </w:pPr>
      <w:r>
        <w:t xml:space="preserve">3.) Your pitch must include:</w:t>
      </w:r>
    </w:p>
    <w:p>
      <w:pPr>
        <w:spacing w:after="160"/>
        <w:ind w:left="360"/>
      </w:pPr>
      <w:r>
        <w:t xml:space="preserve">D1. A labeled plan-view sketch of each frame option, correctly identified as a regular octagon (Option A) or an irregular hexagon (Option B), with every vertex marked.</w:t>
      </w:r>
    </w:p>
    <w:p>
      <w:pPr>
        <w:spacing w:after="160"/>
        <w:ind w:left="360"/>
      </w:pPr>
      <w:r>
        <w:t xml:space="preserve">D2. Using the sum of the interior angles of a polygon theorem, find every interior angle of both frame options — for Option A, using the fact that a regular polygon's interior angles are congruent; for Option B, using the theorem together with the five known corner angles from Appendix B to find the sixth, still-unsurveyed corner. Then state, with justification from the interior angles you found, whether each frame is convex.</w:t>
      </w:r>
    </w:p>
    <w:p>
      <w:pPr>
        <w:spacing w:after="160"/>
        <w:ind w:left="360"/>
      </w:pPr>
      <w:r>
        <w:t xml:space="preserve">D3. For each option, compute the hip rafter run, rise, and length at every vertex using the roof pitch in Appendix A and the Pythagorean theorem, showing your arithmetic for every vertex — and show why Option A's eight hip rafters come out identical while Option B's six do not.</w:t>
      </w:r>
    </w:p>
    <w:p>
      <w:pPr>
        <w:spacing w:after="160"/>
        <w:ind w:left="360"/>
      </w:pPr>
      <w:r>
        <w:t xml:space="preserve">D4. Identify the quadrilateral shape formed by one roof panel — the surface between two adjacent hip rafters and the small flat deck at the roof's peak — in each option, and classify it as specifically as the evidence allows, with justification from the sides and angles you can show are or are not congruent.</w:t>
      </w:r>
    </w:p>
    <w:p>
      <w:pPr>
        <w:spacing w:after="160"/>
        <w:ind w:left="360"/>
      </w:pPr>
      <w:r>
        <w:t xml:space="preserve">D5. A full framing takeoff comparing both options: the total hip-rafter length, the total board-feet of framing lumber, the framing material cost, the fabrication labor cost, the site-prep cost, and the covered square footage delivered per dollar of frame-plus-site-prep cost (SEE APPENDIX D). State which option wins on that number and by how much.</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1"/>
        <w:pBdr>
          <w:bottom w:val="single" w:color="c9a227" w:sz="12" w:space="4"/>
        </w:pBdr>
        <w:spacing w:after="160" w:before="300"/>
      </w:pPr>
      <w:r>
        <w:rPr>
          <w:b/>
          <w:bCs/>
          <w:color w:val="1a3a5c"/>
          <w:sz w:val="30"/>
          <w:szCs w:val="30"/>
        </w:rPr>
        <w:t xml:space="preserve">Appendix A — Roof Pitch &amp; Lumber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1a3a5c" w:val="clear"/>
            <w:vAlign w:val="center"/>
          </w:tcPr>
          <w:p>
            <w:r>
              <w:rPr>
                <w:b/>
                <w:bCs/>
                <w:color w:val="FFFFFF"/>
                <w:sz w:val="18"/>
                <w:szCs w:val="18"/>
              </w:rPr>
              <w:t xml:space="preserve"/>
            </w:r>
          </w:p>
        </w:tc>
        <w:tc>
          <w:tcPr>
            <w:tcW w:type="dxa" w:w="4000"/>
            <w:shd w:fill="1a3a5c" w:val="clear"/>
            <w:vAlign w:val="center"/>
          </w:tcPr>
          <w:p>
            <w:r>
              <w:rPr>
                <w:b/>
                <w:bCs/>
                <w:color w:val="FFFFFF"/>
                <w:sz w:val="18"/>
                <w:szCs w:val="18"/>
              </w:rPr>
              <w:t xml:space="preserve">Value</w:t>
            </w:r>
          </w:p>
        </w:tc>
      </w:tr>
      <w:tr>
        <w:tc>
          <w:tcPr>
            <w:tcW w:type="dxa" w:w="6000"/>
            <w:vAlign w:val="center"/>
          </w:tcPr>
          <w:p>
            <w:r>
              <w:rPr>
                <w:b w:val="false"/>
                <w:bCs w:val="false"/>
                <w:color w:val="000000"/>
                <w:sz w:val="18"/>
                <w:szCs w:val="18"/>
              </w:rPr>
              <w:t xml:space="preserve">Dimension lumber, all rafters and band boards, both options</w:t>
            </w:r>
          </w:p>
        </w:tc>
        <w:tc>
          <w:tcPr>
            <w:tcW w:type="dxa" w:w="4000"/>
            <w:vAlign w:val="center"/>
          </w:tcPr>
          <w:p>
            <w:r>
              <w:rPr>
                <w:b w:val="false"/>
                <w:bCs w:val="false"/>
                <w:color w:val="000000"/>
                <w:sz w:val="18"/>
                <w:szCs w:val="18"/>
              </w:rPr>
              <w:t xml:space="preserve">2 in × 6 in nominal</w:t>
            </w:r>
          </w:p>
        </w:tc>
      </w:tr>
      <w:tr>
        <w:tc>
          <w:tcPr>
            <w:tcW w:type="dxa" w:w="6000"/>
            <w:vAlign w:val="center"/>
          </w:tcPr>
          <w:p>
            <w:r>
              <w:rPr>
                <w:b w:val="false"/>
                <w:bCs w:val="false"/>
                <w:color w:val="000000"/>
                <w:sz w:val="18"/>
                <w:szCs w:val="18"/>
              </w:rPr>
              <w:t xml:space="preserve">Roof pitch, both options</w:t>
            </w:r>
          </w:p>
        </w:tc>
        <w:tc>
          <w:tcPr>
            <w:tcW w:type="dxa" w:w="4000"/>
            <w:vAlign w:val="center"/>
          </w:tcPr>
          <w:p>
            <w:r>
              <w:rPr>
                <w:b w:val="false"/>
                <w:bCs w:val="false"/>
                <w:color w:val="000000"/>
                <w:sz w:val="18"/>
                <w:szCs w:val="18"/>
              </w:rPr>
              <w:t xml:space="preserve">6-in-12 (rise 6 in per 12 in of run)</w:t>
            </w:r>
          </w:p>
        </w:tc>
      </w:tr>
    </w:tbl>
    <w:p>
      <w:pPr>
        <w:spacing w:after="160"/>
      </w:pPr>
      <w:r>
        <w:t xml:space="preserve">Held constant across both options so the comparison isolates the effect of the frame's shape, not its slope or its lumber size.</w:t>
      </w:r>
    </w:p>
    <w:p>
      <w:pPr>
        <w:pStyle w:val="Heading1"/>
        <w:pBdr>
          <w:bottom w:val="single" w:color="c9a227" w:sz="12" w:space="4"/>
        </w:pBdr>
        <w:spacing w:after="160" w:before="300"/>
      </w:pPr>
      <w:r>
        <w:rPr>
          <w:b/>
          <w:bCs/>
          <w:color w:val="1a3a5c"/>
          <w:sz w:val="30"/>
          <w:szCs w:val="30"/>
        </w:rPr>
        <w:t xml:space="preserve">Appendix B — Site &amp; Frame Geometry (constructed scenario — SEE APPENDIX E, MA1)</w:t>
      </w:r>
    </w:p>
    <w:p>
      <w:pPr>
        <w:spacing w:after="160"/>
      </w:pPr>
      <w:r>
        <w:t xml:space="preserve">This is not a real address. The lot, the plat, and every dimension below are a constructed scenario built to be internally consistent with a real corner-lot infill site (SEE APPENDIX E, MA1).</w:t>
      </w:r>
    </w:p>
    <w:p>
      <w:pPr>
        <w:pStyle w:val="Heading2"/>
        <w:spacing w:after="120" w:before="240"/>
      </w:pPr>
      <w:r>
        <w:rPr>
          <w:b/>
          <w:bCs/>
          <w:color w:val="122943"/>
          <w:sz w:val="24"/>
          <w:szCs w:val="24"/>
        </w:rPr>
        <w:t xml:space="preserve">Option A — The Even Eight (regular octagon)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1a3a5c" w:val="clear"/>
            <w:vAlign w:val="center"/>
          </w:tcPr>
          <w:p>
            <w:r>
              <w:rPr>
                <w:b/>
                <w:bCs/>
                <w:color w:val="FFFFFF"/>
                <w:sz w:val="18"/>
                <w:szCs w:val="18"/>
              </w:rPr>
              <w:t xml:space="preserve"/>
            </w:r>
          </w:p>
        </w:tc>
        <w:tc>
          <w:tcPr>
            <w:tcW w:type="dxa" w:w="4000"/>
            <w:shd w:fill="1a3a5c" w:val="clear"/>
            <w:vAlign w:val="center"/>
          </w:tcPr>
          <w:p>
            <w:r>
              <w:rPr>
                <w:b/>
                <w:bCs/>
                <w:color w:val="FFFFFF"/>
                <w:sz w:val="18"/>
                <w:szCs w:val="18"/>
              </w:rPr>
              <w:t xml:space="preserve">Value</w:t>
            </w:r>
          </w:p>
        </w:tc>
      </w:tr>
      <w:tr>
        <w:tc>
          <w:tcPr>
            <w:tcW w:type="dxa" w:w="6000"/>
            <w:vAlign w:val="center"/>
          </w:tcPr>
          <w:p>
            <w:r>
              <w:rPr>
                <w:b w:val="false"/>
                <w:bCs w:val="false"/>
                <w:color w:val="000000"/>
                <w:sz w:val="18"/>
                <w:szCs w:val="18"/>
              </w:rPr>
              <w:t xml:space="preserve">Interior angle, each of 8 (regular polygon — all congruent)</w:t>
            </w:r>
          </w:p>
        </w:tc>
        <w:tc>
          <w:tcPr>
            <w:tcW w:type="dxa" w:w="4000"/>
            <w:vAlign w:val="center"/>
          </w:tcPr>
          <w:p>
            <w:r>
              <w:rPr>
                <w:b w:val="false"/>
                <w:bCs w:val="false"/>
                <w:color w:val="000000"/>
                <w:sz w:val="18"/>
                <w:szCs w:val="18"/>
              </w:rPr>
              <w:t xml:space="preserve">Find using the theorem (D2)</w:t>
            </w:r>
          </w:p>
        </w:tc>
      </w:tr>
      <w:tr>
        <w:tc>
          <w:tcPr>
            <w:tcW w:type="dxa" w:w="6000"/>
            <w:vAlign w:val="center"/>
          </w:tcPr>
          <w:p>
            <w:r>
              <w:rPr>
                <w:b w:val="false"/>
                <w:bCs w:val="false"/>
                <w:color w:val="000000"/>
                <w:sz w:val="18"/>
                <w:szCs w:val="18"/>
              </w:rPr>
              <w:t xml:space="preserve">Side length, each of 8 (identical)</w:t>
            </w:r>
          </w:p>
        </w:tc>
        <w:tc>
          <w:tcPr>
            <w:tcW w:type="dxa" w:w="4000"/>
            <w:vAlign w:val="center"/>
          </w:tcPr>
          <w:p>
            <w:r>
              <w:rPr>
                <w:b w:val="false"/>
                <w:bCs w:val="false"/>
                <w:color w:val="000000"/>
                <w:sz w:val="18"/>
                <w:szCs w:val="18"/>
              </w:rPr>
              <w:t xml:space="preserve">9.9411 ft</w:t>
            </w:r>
          </w:p>
        </w:tc>
      </w:tr>
      <w:tr>
        <w:tc>
          <w:tcPr>
            <w:tcW w:type="dxa" w:w="6000"/>
            <w:vAlign w:val="center"/>
          </w:tcPr>
          <w:p>
            <w:r>
              <w:rPr>
                <w:b w:val="false"/>
                <w:bCs w:val="false"/>
                <w:color w:val="000000"/>
                <w:sz w:val="18"/>
                <w:szCs w:val="18"/>
              </w:rPr>
              <w:t xml:space="preserve">Hip rafter run, each of 8 (identical — plan-view distance, vertex to center)</w:t>
            </w:r>
          </w:p>
        </w:tc>
        <w:tc>
          <w:tcPr>
            <w:tcW w:type="dxa" w:w="4000"/>
            <w:vAlign w:val="center"/>
          </w:tcPr>
          <w:p>
            <w:r>
              <w:rPr>
                <w:b w:val="false"/>
                <w:bCs w:val="false"/>
                <w:color w:val="000000"/>
                <w:sz w:val="18"/>
                <w:szCs w:val="18"/>
              </w:rPr>
              <w:t xml:space="preserve">12.988 ft</w:t>
            </w:r>
          </w:p>
        </w:tc>
      </w:tr>
      <w:tr>
        <w:tc>
          <w:tcPr>
            <w:tcW w:type="dxa" w:w="6000"/>
            <w:vAlign w:val="center"/>
          </w:tcPr>
          <w:p>
            <w:r>
              <w:rPr>
                <w:b w:val="false"/>
                <w:bCs w:val="false"/>
                <w:color w:val="000000"/>
                <w:sz w:val="18"/>
                <w:szCs w:val="18"/>
              </w:rPr>
              <w:t xml:space="preserve">Covered footprint area</w:t>
            </w:r>
          </w:p>
        </w:tc>
        <w:tc>
          <w:tcPr>
            <w:tcW w:type="dxa" w:w="4000"/>
            <w:vAlign w:val="center"/>
          </w:tcPr>
          <w:p>
            <w:r>
              <w:rPr>
                <w:b w:val="false"/>
                <w:bCs w:val="false"/>
                <w:color w:val="000000"/>
                <w:sz w:val="18"/>
                <w:szCs w:val="18"/>
              </w:rPr>
              <w:t xml:space="preserve">477.17 sq ft</w:t>
            </w:r>
          </w:p>
        </w:tc>
      </w:tr>
    </w:tbl>
    <w:p>
      <w:pPr>
        <w:pStyle w:val="Heading2"/>
        <w:spacing w:after="120" w:before="240"/>
      </w:pPr>
      <w:r>
        <w:rPr>
          <w:b/>
          <w:bCs/>
          <w:color w:val="122943"/>
          <w:sz w:val="24"/>
          <w:szCs w:val="24"/>
        </w:rPr>
        <w:t xml:space="preserve">Option B — The Site Six (irregular hexagon)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400"/>
      </w:tblGrid>
      <w:tr>
        <w:trPr>
          <w:tblHeader/>
        </w:trPr>
        <w:tc>
          <w:tcPr>
            <w:tcW w:type="dxa" w:w="2600"/>
            <w:shd w:fill="1a3a5c" w:val="clear"/>
            <w:vAlign w:val="center"/>
          </w:tcPr>
          <w:p>
            <w:r>
              <w:rPr>
                <w:b/>
                <w:bCs/>
                <w:color w:val="FFFFFF"/>
                <w:sz w:val="18"/>
                <w:szCs w:val="18"/>
              </w:rPr>
              <w:t xml:space="preserve">Corner</w:t>
            </w:r>
          </w:p>
        </w:tc>
        <w:tc>
          <w:tcPr>
            <w:tcW w:type="dxa" w:w="2600"/>
            <w:shd w:fill="1a3a5c" w:val="clear"/>
            <w:vAlign w:val="center"/>
          </w:tcPr>
          <w:p>
            <w:r>
              <w:rPr>
                <w:b/>
                <w:bCs/>
                <w:color w:val="FFFFFF"/>
                <w:sz w:val="18"/>
                <w:szCs w:val="18"/>
              </w:rPr>
              <w:t xml:space="preserve">Interior angle</w:t>
            </w:r>
          </w:p>
        </w:tc>
        <w:tc>
          <w:tcPr>
            <w:tcW w:type="dxa" w:w="2400"/>
            <w:shd w:fill="1a3a5c" w:val="clear"/>
            <w:vAlign w:val="center"/>
          </w:tcPr>
          <w:p>
            <w:r>
              <w:rPr>
                <w:b/>
                <w:bCs/>
                <w:color w:val="FFFFFF"/>
                <w:sz w:val="18"/>
                <w:szCs w:val="18"/>
              </w:rPr>
              <w:t xml:space="preserve">Side length (ft)</w:t>
            </w:r>
          </w:p>
        </w:tc>
        <w:tc>
          <w:tcPr>
            <w:tcW w:type="dxa" w:w="2400"/>
            <w:shd w:fill="1a3a5c" w:val="clear"/>
            <w:vAlign w:val="center"/>
          </w:tcPr>
          <w:p>
            <w:r>
              <w:rPr>
                <w:b/>
                <w:bCs/>
                <w:color w:val="FFFFFF"/>
                <w:sz w:val="18"/>
                <w:szCs w:val="18"/>
              </w:rPr>
              <w:t xml:space="preserve">Hip rafter run (ft)</w:t>
            </w:r>
          </w:p>
        </w:tc>
      </w:tr>
      <w:tr>
        <w:tc>
          <w:tcPr>
            <w:tcW w:type="dxa" w:w="2600"/>
            <w:vAlign w:val="center"/>
          </w:tcPr>
          <w:p>
            <w:r>
              <w:rPr>
                <w:b w:val="false"/>
                <w:bCs w:val="false"/>
                <w:color w:val="000000"/>
                <w:sz w:val="18"/>
                <w:szCs w:val="18"/>
              </w:rPr>
              <w:t xml:space="preserve">1</w:t>
            </w:r>
          </w:p>
        </w:tc>
        <w:tc>
          <w:tcPr>
            <w:tcW w:type="dxa" w:w="2600"/>
            <w:vAlign w:val="center"/>
          </w:tcPr>
          <w:p>
            <w:r>
              <w:rPr>
                <w:b w:val="false"/>
                <w:bCs w:val="false"/>
                <w:color w:val="000000"/>
                <w:sz w:val="18"/>
                <w:szCs w:val="18"/>
              </w:rPr>
              <w:t xml:space="preserve">108°</w:t>
            </w:r>
          </w:p>
        </w:tc>
        <w:tc>
          <w:tcPr>
            <w:tcW w:type="dxa" w:w="2400"/>
            <w:vAlign w:val="center"/>
          </w:tcPr>
          <w:p>
            <w:r>
              <w:rPr>
                <w:b w:val="false"/>
                <w:bCs w:val="false"/>
                <w:color w:val="000000"/>
                <w:sz w:val="18"/>
                <w:szCs w:val="18"/>
              </w:rPr>
              <w:t xml:space="preserve">18.0</w:t>
            </w:r>
          </w:p>
        </w:tc>
        <w:tc>
          <w:tcPr>
            <w:tcW w:type="dxa" w:w="2400"/>
            <w:vAlign w:val="center"/>
          </w:tcPr>
          <w:p>
            <w:r>
              <w:rPr>
                <w:b w:val="false"/>
                <w:bCs w:val="false"/>
                <w:color w:val="000000"/>
                <w:sz w:val="18"/>
                <w:szCs w:val="18"/>
              </w:rPr>
              <w:t xml:space="preserve">14.0</w:t>
            </w:r>
          </w:p>
        </w:tc>
      </w:tr>
      <w:tr>
        <w:tc>
          <w:tcPr>
            <w:tcW w:type="dxa" w:w="2600"/>
            <w:vAlign w:val="center"/>
          </w:tcPr>
          <w:p>
            <w:r>
              <w:rPr>
                <w:b w:val="false"/>
                <w:bCs w:val="false"/>
                <w:color w:val="000000"/>
                <w:sz w:val="18"/>
                <w:szCs w:val="18"/>
              </w:rPr>
              <w:t xml:space="preserve">2</w:t>
            </w:r>
          </w:p>
        </w:tc>
        <w:tc>
          <w:tcPr>
            <w:tcW w:type="dxa" w:w="2600"/>
            <w:vAlign w:val="center"/>
          </w:tcPr>
          <w:p>
            <w:r>
              <w:rPr>
                <w:b w:val="false"/>
                <w:bCs w:val="false"/>
                <w:color w:val="000000"/>
                <w:sz w:val="18"/>
                <w:szCs w:val="18"/>
              </w:rPr>
              <w:t xml:space="preserve">132°</w:t>
            </w:r>
          </w:p>
        </w:tc>
        <w:tc>
          <w:tcPr>
            <w:tcW w:type="dxa" w:w="2400"/>
            <w:vAlign w:val="center"/>
          </w:tcPr>
          <w:p>
            <w:r>
              <w:rPr>
                <w:b w:val="false"/>
                <w:bCs w:val="false"/>
                <w:color w:val="000000"/>
                <w:sz w:val="18"/>
                <w:szCs w:val="18"/>
              </w:rPr>
              <w:t xml:space="preserve">22.5</w:t>
            </w:r>
          </w:p>
        </w:tc>
        <w:tc>
          <w:tcPr>
            <w:tcW w:type="dxa" w:w="2400"/>
            <w:vAlign w:val="center"/>
          </w:tcPr>
          <w:p>
            <w:r>
              <w:rPr>
                <w:b w:val="false"/>
                <w:bCs w:val="false"/>
                <w:color w:val="000000"/>
                <w:sz w:val="18"/>
                <w:szCs w:val="18"/>
              </w:rPr>
              <w:t xml:space="preserve">16.5</w:t>
            </w:r>
          </w:p>
        </w:tc>
      </w:tr>
      <w:tr>
        <w:tc>
          <w:tcPr>
            <w:tcW w:type="dxa" w:w="2600"/>
            <w:vAlign w:val="center"/>
          </w:tcPr>
          <w:p>
            <w:r>
              <w:rPr>
                <w:b w:val="false"/>
                <w:bCs w:val="false"/>
                <w:color w:val="000000"/>
                <w:sz w:val="18"/>
                <w:szCs w:val="18"/>
              </w:rPr>
              <w:t xml:space="preserve">3</w:t>
            </w:r>
          </w:p>
        </w:tc>
        <w:tc>
          <w:tcPr>
            <w:tcW w:type="dxa" w:w="2600"/>
            <w:vAlign w:val="center"/>
          </w:tcPr>
          <w:p>
            <w:r>
              <w:rPr>
                <w:b w:val="false"/>
                <w:bCs w:val="false"/>
                <w:color w:val="000000"/>
                <w:sz w:val="18"/>
                <w:szCs w:val="18"/>
              </w:rPr>
              <w:t xml:space="preserve">121°</w:t>
            </w:r>
          </w:p>
        </w:tc>
        <w:tc>
          <w:tcPr>
            <w:tcW w:type="dxa" w:w="2400"/>
            <w:vAlign w:val="center"/>
          </w:tcPr>
          <w:p>
            <w:r>
              <w:rPr>
                <w:b w:val="false"/>
                <w:bCs w:val="false"/>
                <w:color w:val="000000"/>
                <w:sz w:val="18"/>
                <w:szCs w:val="18"/>
              </w:rPr>
              <w:t xml:space="preserve">15.0</w:t>
            </w:r>
          </w:p>
        </w:tc>
        <w:tc>
          <w:tcPr>
            <w:tcW w:type="dxa" w:w="2400"/>
            <w:vAlign w:val="center"/>
          </w:tcPr>
          <w:p>
            <w:r>
              <w:rPr>
                <w:b w:val="false"/>
                <w:bCs w:val="false"/>
                <w:color w:val="000000"/>
                <w:sz w:val="18"/>
                <w:szCs w:val="18"/>
              </w:rPr>
              <w:t xml:space="preserve">12.0</w:t>
            </w:r>
          </w:p>
        </w:tc>
      </w:tr>
      <w:tr>
        <w:tc>
          <w:tcPr>
            <w:tcW w:type="dxa" w:w="2600"/>
            <w:vAlign w:val="center"/>
          </w:tcPr>
          <w:p>
            <w:r>
              <w:rPr>
                <w:b w:val="false"/>
                <w:bCs w:val="false"/>
                <w:color w:val="000000"/>
                <w:sz w:val="18"/>
                <w:szCs w:val="18"/>
              </w:rPr>
              <w:t xml:space="preserve">4</w:t>
            </w:r>
          </w:p>
        </w:tc>
        <w:tc>
          <w:tcPr>
            <w:tcW w:type="dxa" w:w="2600"/>
            <w:vAlign w:val="center"/>
          </w:tcPr>
          <w:p>
            <w:r>
              <w:rPr>
                <w:b w:val="false"/>
                <w:bCs w:val="false"/>
                <w:color w:val="000000"/>
                <w:sz w:val="18"/>
                <w:szCs w:val="18"/>
              </w:rPr>
              <w:t xml:space="preserve">143°</w:t>
            </w:r>
          </w:p>
        </w:tc>
        <w:tc>
          <w:tcPr>
            <w:tcW w:type="dxa" w:w="2400"/>
            <w:vAlign w:val="center"/>
          </w:tcPr>
          <w:p>
            <w:r>
              <w:rPr>
                <w:b w:val="false"/>
                <w:bCs w:val="false"/>
                <w:color w:val="000000"/>
                <w:sz w:val="18"/>
                <w:szCs w:val="18"/>
              </w:rPr>
              <w:t xml:space="preserve">20.0</w:t>
            </w:r>
          </w:p>
        </w:tc>
        <w:tc>
          <w:tcPr>
            <w:tcW w:type="dxa" w:w="2400"/>
            <w:vAlign w:val="center"/>
          </w:tcPr>
          <w:p>
            <w:r>
              <w:rPr>
                <w:b w:val="false"/>
                <w:bCs w:val="false"/>
                <w:color w:val="000000"/>
                <w:sz w:val="18"/>
                <w:szCs w:val="18"/>
              </w:rPr>
              <w:t xml:space="preserve">15.5</w:t>
            </w:r>
          </w:p>
        </w:tc>
      </w:tr>
      <w:tr>
        <w:tc>
          <w:tcPr>
            <w:tcW w:type="dxa" w:w="2600"/>
            <w:vAlign w:val="center"/>
          </w:tcPr>
          <w:p>
            <w:r>
              <w:rPr>
                <w:b w:val="false"/>
                <w:bCs w:val="false"/>
                <w:color w:val="000000"/>
                <w:sz w:val="18"/>
                <w:szCs w:val="18"/>
              </w:rPr>
              <w:t xml:space="preserve">5</w:t>
            </w:r>
          </w:p>
        </w:tc>
        <w:tc>
          <w:tcPr>
            <w:tcW w:type="dxa" w:w="2600"/>
            <w:vAlign w:val="center"/>
          </w:tcPr>
          <w:p>
            <w:r>
              <w:rPr>
                <w:b w:val="false"/>
                <w:bCs w:val="false"/>
                <w:color w:val="000000"/>
                <w:sz w:val="18"/>
                <w:szCs w:val="18"/>
              </w:rPr>
              <w:t xml:space="preserve">116°</w:t>
            </w:r>
          </w:p>
        </w:tc>
        <w:tc>
          <w:tcPr>
            <w:tcW w:type="dxa" w:w="2400"/>
            <w:vAlign w:val="center"/>
          </w:tcPr>
          <w:p>
            <w:r>
              <w:rPr>
                <w:b w:val="false"/>
                <w:bCs w:val="false"/>
                <w:color w:val="000000"/>
                <w:sz w:val="18"/>
                <w:szCs w:val="18"/>
              </w:rPr>
              <w:t xml:space="preserve">17.5</w:t>
            </w:r>
          </w:p>
        </w:tc>
        <w:tc>
          <w:tcPr>
            <w:tcW w:type="dxa" w:w="2400"/>
            <w:vAlign w:val="center"/>
          </w:tcPr>
          <w:p>
            <w:r>
              <w:rPr>
                <w:b w:val="false"/>
                <w:bCs w:val="false"/>
                <w:color w:val="000000"/>
                <w:sz w:val="18"/>
                <w:szCs w:val="18"/>
              </w:rPr>
              <w:t xml:space="preserve">13.0</w:t>
            </w:r>
          </w:p>
        </w:tc>
      </w:tr>
      <w:tr>
        <w:tc>
          <w:tcPr>
            <w:tcW w:type="dxa" w:w="2600"/>
            <w:vAlign w:val="center"/>
          </w:tcPr>
          <w:p>
            <w:r>
              <w:rPr>
                <w:b w:val="false"/>
                <w:bCs w:val="false"/>
                <w:color w:val="000000"/>
                <w:sz w:val="18"/>
                <w:szCs w:val="18"/>
              </w:rPr>
              <w:t xml:space="preserve">6 (not yet re-staked)</w:t>
            </w:r>
          </w:p>
        </w:tc>
        <w:tc>
          <w:tcPr>
            <w:tcW w:type="dxa" w:w="2600"/>
            <w:vAlign w:val="center"/>
          </w:tcPr>
          <w:p>
            <w:r>
              <w:rPr>
                <w:b w:val="false"/>
                <w:bCs w:val="false"/>
                <w:color w:val="000000"/>
                <w:sz w:val="18"/>
                <w:szCs w:val="18"/>
              </w:rPr>
              <w:t xml:space="preserve">Find using the theorem (D2)</w:t>
            </w:r>
          </w:p>
        </w:tc>
        <w:tc>
          <w:tcPr>
            <w:tcW w:type="dxa" w:w="2400"/>
            <w:vAlign w:val="center"/>
          </w:tcPr>
          <w:p>
            <w:r>
              <w:rPr>
                <w:b w:val="false"/>
                <w:bCs w:val="false"/>
                <w:color w:val="000000"/>
                <w:sz w:val="18"/>
                <w:szCs w:val="18"/>
              </w:rPr>
              <w:t xml:space="preserve">24.0</w:t>
            </w:r>
          </w:p>
        </w:tc>
        <w:tc>
          <w:tcPr>
            <w:tcW w:type="dxa" w:w="2400"/>
            <w:vAlign w:val="center"/>
          </w:tcPr>
          <w:p>
            <w:r>
              <w:rPr>
                <w:b w:val="false"/>
                <w:bCs w:val="false"/>
                <w:color w:val="000000"/>
                <w:sz w:val="18"/>
                <w:szCs w:val="18"/>
              </w:rPr>
              <w:t xml:space="preserve">17.0</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1a3a5c" w:val="clear"/>
            <w:vAlign w:val="center"/>
          </w:tcPr>
          <w:p>
            <w:r>
              <w:rPr>
                <w:b/>
                <w:bCs/>
                <w:color w:val="FFFFFF"/>
                <w:sz w:val="18"/>
                <w:szCs w:val="18"/>
              </w:rPr>
              <w:t xml:space="preserve"/>
            </w:r>
          </w:p>
        </w:tc>
        <w:tc>
          <w:tcPr>
            <w:tcW w:type="dxa" w:w="4000"/>
            <w:shd w:fill="1a3a5c" w:val="clear"/>
            <w:vAlign w:val="center"/>
          </w:tcPr>
          <w:p>
            <w:r>
              <w:rPr>
                <w:b/>
                <w:bCs/>
                <w:color w:val="FFFFFF"/>
                <w:sz w:val="18"/>
                <w:szCs w:val="18"/>
              </w:rPr>
              <w:t xml:space="preserve">Value</w:t>
            </w:r>
          </w:p>
        </w:tc>
      </w:tr>
      <w:tr>
        <w:tc>
          <w:tcPr>
            <w:tcW w:type="dxa" w:w="6000"/>
            <w:vAlign w:val="center"/>
          </w:tcPr>
          <w:p>
            <w:r>
              <w:rPr>
                <w:b w:val="false"/>
                <w:bCs w:val="false"/>
                <w:color w:val="000000"/>
                <w:sz w:val="18"/>
                <w:szCs w:val="18"/>
              </w:rPr>
              <w:t xml:space="preserve">Covered footprint area</w:t>
            </w:r>
          </w:p>
        </w:tc>
        <w:tc>
          <w:tcPr>
            <w:tcW w:type="dxa" w:w="4000"/>
            <w:vAlign w:val="center"/>
          </w:tcPr>
          <w:p>
            <w:r>
              <w:rPr>
                <w:b w:val="false"/>
                <w:bCs w:val="false"/>
                <w:color w:val="000000"/>
                <w:sz w:val="18"/>
                <w:szCs w:val="18"/>
              </w:rPr>
              <w:t xml:space="preserve">510.00 sq ft</w:t>
            </w:r>
          </w:p>
        </w:tc>
      </w:tr>
    </w:tbl>
    <w:p>
      <w:pPr>
        <w:pStyle w:val="Heading1"/>
        <w:pBdr>
          <w:bottom w:val="single" w:color="c9a227" w:sz="12" w:space="4"/>
        </w:pBdr>
        <w:spacing w:after="160" w:before="300"/>
      </w:pPr>
      <w:r>
        <w:rPr>
          <w:b/>
          <w:bCs/>
          <w:color w:val="1a3a5c"/>
          <w:sz w:val="30"/>
          <w:szCs w:val="30"/>
        </w:rPr>
        <w:t xml:space="preserve">Appendix C — Lumber Pricing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dxa" w:w="4000"/>
            <w:shd w:fill="1a3a5c" w:val="clear"/>
            <w:vAlign w:val="center"/>
          </w:tcPr>
          <w:p>
            <w:r>
              <w:rPr>
                <w:b/>
                <w:bCs/>
                <w:color w:val="FFFFFF"/>
                <w:sz w:val="18"/>
                <w:szCs w:val="18"/>
              </w:rPr>
              <w:t xml:space="preserve"/>
            </w:r>
          </w:p>
        </w:tc>
        <w:tc>
          <w:tcPr>
            <w:tcW w:type="dxa" w:w="6000"/>
            <w:shd w:fill="1a3a5c" w:val="clear"/>
            <w:vAlign w:val="center"/>
          </w:tcPr>
          <w:p>
            <w:r>
              <w:rPr>
                <w:b/>
                <w:bCs/>
                <w:color w:val="FFFFFF"/>
                <w:sz w:val="18"/>
                <w:szCs w:val="18"/>
              </w:rPr>
              <w:t xml:space="preserve">Value</w:t>
            </w:r>
          </w:p>
        </w:tc>
      </w:tr>
      <w:tr>
        <w:tc>
          <w:tcPr>
            <w:tcW w:type="dxa" w:w="4000"/>
            <w:vAlign w:val="center"/>
          </w:tcPr>
          <w:p>
            <w:r>
              <w:rPr>
                <w:b w:val="false"/>
                <w:bCs w:val="false"/>
                <w:color w:val="000000"/>
                <w:sz w:val="18"/>
                <w:szCs w:val="18"/>
              </w:rPr>
              <w:t xml:space="preserve">Framing lumber composite price [S1]</w:t>
            </w:r>
          </w:p>
        </w:tc>
        <w:tc>
          <w:tcPr>
            <w:tcW w:type="dxa" w:w="6000"/>
            <w:vAlign w:val="center"/>
          </w:tcPr>
          <w:p>
            <w:r>
              <w:rPr>
                <w:b w:val="false"/>
                <w:bCs w:val="false"/>
                <w:color w:val="000000"/>
                <w:sz w:val="18"/>
                <w:szCs w:val="18"/>
              </w:rPr>
              <w:t xml:space="preserve">$521.35 per 1,000 board feet</w:t>
            </w:r>
          </w:p>
        </w:tc>
      </w:tr>
      <w:tr>
        <w:tc>
          <w:tcPr>
            <w:tcW w:type="dxa" w:w="4000"/>
            <w:vAlign w:val="center"/>
          </w:tcPr>
          <w:p>
            <w:r>
              <w:rPr>
                <w:b w:val="false"/>
                <w:bCs w:val="false"/>
                <w:color w:val="000000"/>
                <w:sz w:val="18"/>
                <w:szCs w:val="18"/>
              </w:rPr>
              <w:t xml:space="preserve">Price per board foot</w:t>
            </w:r>
          </w:p>
        </w:tc>
        <w:tc>
          <w:tcPr>
            <w:tcW w:type="dxa" w:w="6000"/>
            <w:vAlign w:val="center"/>
          </w:tcPr>
          <w:p>
            <w:r>
              <w:rPr>
                <w:b w:val="false"/>
                <w:bCs w:val="false"/>
                <w:color w:val="000000"/>
                <w:sz w:val="18"/>
                <w:szCs w:val="18"/>
              </w:rPr>
              <w:t xml:space="preserve">$0.52135</w:t>
            </w:r>
          </w:p>
        </w:tc>
      </w:tr>
      <w:tr>
        <w:tc>
          <w:tcPr>
            <w:tcW w:type="dxa" w:w="4000"/>
            <w:vAlign w:val="center"/>
          </w:tcPr>
          <w:p>
            <w:r>
              <w:rPr>
                <w:b w:val="false"/>
                <w:bCs w:val="false"/>
                <w:color w:val="000000"/>
                <w:sz w:val="18"/>
                <w:szCs w:val="18"/>
              </w:rPr>
              <w:t xml:space="preserve">Board-foot formula used</w:t>
            </w:r>
          </w:p>
        </w:tc>
        <w:tc>
          <w:tcPr>
            <w:tcW w:type="dxa" w:w="6000"/>
            <w:vAlign w:val="center"/>
          </w:tcPr>
          <w:p>
            <w:r>
              <w:rPr>
                <w:b w:val="false"/>
                <w:bCs w:val="false"/>
                <w:color w:val="000000"/>
                <w:sz w:val="18"/>
                <w:szCs w:val="18"/>
              </w:rPr>
              <w:t xml:space="preserve">(thickness in × width in × length in ft) ÷ 12 — for 2×6 stock this reduces to length(ft) × 1.0</w:t>
            </w:r>
          </w:p>
        </w:tc>
      </w:tr>
    </w:tbl>
    <w:p>
      <w:pPr>
        <w:pStyle w:val="Heading1"/>
        <w:pBdr>
          <w:bottom w:val="single" w:color="c9a227" w:sz="12" w:space="4"/>
        </w:pBdr>
        <w:spacing w:after="160" w:before="300"/>
      </w:pPr>
      <w:r>
        <w:rPr>
          <w:b/>
          <w:bCs/>
          <w:color w:val="1a3a5c"/>
          <w:sz w:val="30"/>
          <w:szCs w:val="30"/>
        </w:rPr>
        <w:t xml:space="preserve">Appendix D — Frame &amp; Cost Takeoff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800"/>
      </w:tblGrid>
      <w:tr>
        <w:trPr>
          <w:tblHeader/>
        </w:trPr>
        <w:tc>
          <w:tcPr>
            <w:tcW w:type="dxa" w:w="4400"/>
            <w:shd w:fill="1a3a5c" w:val="clear"/>
            <w:vAlign w:val="center"/>
          </w:tcPr>
          <w:p>
            <w:r>
              <w:rPr>
                <w:b/>
                <w:bCs/>
                <w:color w:val="FFFFFF"/>
                <w:sz w:val="18"/>
                <w:szCs w:val="18"/>
              </w:rPr>
              <w:t xml:space="preserve"/>
            </w:r>
          </w:p>
        </w:tc>
        <w:tc>
          <w:tcPr>
            <w:tcW w:type="dxa" w:w="2800"/>
            <w:shd w:fill="1a3a5c" w:val="clear"/>
            <w:vAlign w:val="center"/>
          </w:tcPr>
          <w:p>
            <w:r>
              <w:rPr>
                <w:b/>
                <w:bCs/>
                <w:color w:val="FFFFFF"/>
                <w:sz w:val="18"/>
                <w:szCs w:val="18"/>
              </w:rPr>
              <w:t xml:space="preserve">The Even Eight (A)</w:t>
            </w:r>
          </w:p>
        </w:tc>
        <w:tc>
          <w:tcPr>
            <w:tcW w:type="dxa" w:w="2800"/>
            <w:shd w:fill="1a3a5c" w:val="clear"/>
            <w:vAlign w:val="center"/>
          </w:tcPr>
          <w:p>
            <w:r>
              <w:rPr>
                <w:b/>
                <w:bCs/>
                <w:color w:val="FFFFFF"/>
                <w:sz w:val="18"/>
                <w:szCs w:val="18"/>
              </w:rPr>
              <w:t xml:space="preserve">The Site Six (B)</w:t>
            </w:r>
          </w:p>
        </w:tc>
      </w:tr>
      <w:tr>
        <w:tc>
          <w:tcPr>
            <w:tcW w:type="dxa" w:w="4400"/>
            <w:vAlign w:val="center"/>
          </w:tcPr>
          <w:p>
            <w:r>
              <w:rPr>
                <w:b w:val="false"/>
                <w:bCs w:val="false"/>
                <w:color w:val="000000"/>
                <w:sz w:val="18"/>
                <w:szCs w:val="18"/>
              </w:rPr>
              <w:t xml:space="preserve">Total hip-rafter length (8 identical vs. 6 different — SEE APPENDIX B)</w:t>
            </w:r>
          </w:p>
        </w:tc>
        <w:tc>
          <w:tcPr>
            <w:tcW w:type="dxa" w:w="2800"/>
            <w:vAlign w:val="center"/>
          </w:tcPr>
          <w:p>
            <w:r>
              <w:rPr>
                <w:b w:val="false"/>
                <w:bCs w:val="false"/>
                <w:color w:val="000000"/>
                <w:sz w:val="18"/>
                <w:szCs w:val="18"/>
              </w:rPr>
              <w:t xml:space="preserve">116.17 ft</w:t>
            </w:r>
          </w:p>
        </w:tc>
        <w:tc>
          <w:tcPr>
            <w:tcW w:type="dxa" w:w="2800"/>
            <w:vAlign w:val="center"/>
          </w:tcPr>
          <w:p>
            <w:r>
              <w:rPr>
                <w:b w:val="false"/>
                <w:bCs w:val="false"/>
                <w:color w:val="000000"/>
                <w:sz w:val="18"/>
                <w:szCs w:val="18"/>
              </w:rPr>
              <w:t xml:space="preserve">98.39 ft</w:t>
            </w:r>
          </w:p>
        </w:tc>
      </w:tr>
      <w:tr>
        <w:tc>
          <w:tcPr>
            <w:tcW w:type="dxa" w:w="4400"/>
            <w:vAlign w:val="center"/>
          </w:tcPr>
          <w:p>
            <w:r>
              <w:rPr>
                <w:b w:val="false"/>
                <w:bCs w:val="false"/>
                <w:color w:val="000000"/>
                <w:sz w:val="18"/>
                <w:szCs w:val="18"/>
              </w:rPr>
              <w:t xml:space="preserve">Eave/band-board perimeter (sum of side lengths, Appendix B)</w:t>
            </w:r>
          </w:p>
        </w:tc>
        <w:tc>
          <w:tcPr>
            <w:tcW w:type="dxa" w:w="2800"/>
            <w:vAlign w:val="center"/>
          </w:tcPr>
          <w:p>
            <w:r>
              <w:rPr>
                <w:b w:val="false"/>
                <w:bCs w:val="false"/>
                <w:color w:val="000000"/>
                <w:sz w:val="18"/>
                <w:szCs w:val="18"/>
              </w:rPr>
              <w:t xml:space="preserve">79.53 ft</w:t>
            </w:r>
          </w:p>
        </w:tc>
        <w:tc>
          <w:tcPr>
            <w:tcW w:type="dxa" w:w="2800"/>
            <w:vAlign w:val="center"/>
          </w:tcPr>
          <w:p>
            <w:r>
              <w:rPr>
                <w:b w:val="false"/>
                <w:bCs w:val="false"/>
                <w:color w:val="000000"/>
                <w:sz w:val="18"/>
                <w:szCs w:val="18"/>
              </w:rPr>
              <w:t xml:space="preserve">117.00 ft</w:t>
            </w:r>
          </w:p>
        </w:tc>
      </w:tr>
      <w:tr>
        <w:tc>
          <w:tcPr>
            <w:tcW w:type="dxa" w:w="4400"/>
            <w:vAlign w:val="center"/>
          </w:tcPr>
          <w:p>
            <w:r>
              <w:rPr>
                <w:b w:val="false"/>
                <w:bCs w:val="false"/>
                <w:color w:val="000000"/>
                <w:sz w:val="18"/>
                <w:szCs w:val="18"/>
              </w:rPr>
              <w:t xml:space="preserve">Total framing lumber length</w:t>
            </w:r>
          </w:p>
        </w:tc>
        <w:tc>
          <w:tcPr>
            <w:tcW w:type="dxa" w:w="2800"/>
            <w:vAlign w:val="center"/>
          </w:tcPr>
          <w:p>
            <w:r>
              <w:rPr>
                <w:b w:val="false"/>
                <w:bCs w:val="false"/>
                <w:color w:val="000000"/>
                <w:sz w:val="18"/>
                <w:szCs w:val="18"/>
              </w:rPr>
              <w:t xml:space="preserve">195.70 ft</w:t>
            </w:r>
          </w:p>
        </w:tc>
        <w:tc>
          <w:tcPr>
            <w:tcW w:type="dxa" w:w="2800"/>
            <w:vAlign w:val="center"/>
          </w:tcPr>
          <w:p>
            <w:r>
              <w:rPr>
                <w:b w:val="false"/>
                <w:bCs w:val="false"/>
                <w:color w:val="000000"/>
                <w:sz w:val="18"/>
                <w:szCs w:val="18"/>
              </w:rPr>
              <w:t xml:space="preserve">215.39 ft</w:t>
            </w:r>
          </w:p>
        </w:tc>
      </w:tr>
      <w:tr>
        <w:tc>
          <w:tcPr>
            <w:tcW w:type="dxa" w:w="4400"/>
            <w:vAlign w:val="center"/>
          </w:tcPr>
          <w:p>
            <w:r>
              <w:rPr>
                <w:b w:val="false"/>
                <w:bCs w:val="false"/>
                <w:color w:val="000000"/>
                <w:sz w:val="18"/>
                <w:szCs w:val="18"/>
              </w:rPr>
              <w:t xml:space="preserve">Total board-feet (2×6 stock)</w:t>
            </w:r>
          </w:p>
        </w:tc>
        <w:tc>
          <w:tcPr>
            <w:tcW w:type="dxa" w:w="2800"/>
            <w:vAlign w:val="center"/>
          </w:tcPr>
          <w:p>
            <w:r>
              <w:rPr>
                <w:b w:val="false"/>
                <w:bCs w:val="false"/>
                <w:color w:val="000000"/>
                <w:sz w:val="18"/>
                <w:szCs w:val="18"/>
              </w:rPr>
              <w:t xml:space="preserve">195.70 BF</w:t>
            </w:r>
          </w:p>
        </w:tc>
        <w:tc>
          <w:tcPr>
            <w:tcW w:type="dxa" w:w="2800"/>
            <w:vAlign w:val="center"/>
          </w:tcPr>
          <w:p>
            <w:r>
              <w:rPr>
                <w:b w:val="false"/>
                <w:bCs w:val="false"/>
                <w:color w:val="000000"/>
                <w:sz w:val="18"/>
                <w:szCs w:val="18"/>
              </w:rPr>
              <w:t xml:space="preserve">215.39 BF</w:t>
            </w:r>
          </w:p>
        </w:tc>
      </w:tr>
      <w:tr>
        <w:tc>
          <w:tcPr>
            <w:tcW w:type="dxa" w:w="4400"/>
            <w:vAlign w:val="center"/>
          </w:tcPr>
          <w:p>
            <w:r>
              <w:rPr>
                <w:b w:val="false"/>
                <w:bCs w:val="false"/>
                <w:color w:val="000000"/>
                <w:sz w:val="18"/>
                <w:szCs w:val="18"/>
              </w:rPr>
              <w:t xml:space="preserve">Framing material cost [S1]</w:t>
            </w:r>
          </w:p>
        </w:tc>
        <w:tc>
          <w:tcPr>
            <w:tcW w:type="dxa" w:w="2800"/>
            <w:vAlign w:val="center"/>
          </w:tcPr>
          <w:p>
            <w:r>
              <w:rPr>
                <w:b w:val="false"/>
                <w:bCs w:val="false"/>
                <w:color w:val="000000"/>
                <w:sz w:val="18"/>
                <w:szCs w:val="18"/>
              </w:rPr>
              <w:t xml:space="preserve">$102.03</w:t>
            </w:r>
          </w:p>
        </w:tc>
        <w:tc>
          <w:tcPr>
            <w:tcW w:type="dxa" w:w="2800"/>
            <w:vAlign w:val="center"/>
          </w:tcPr>
          <w:p>
            <w:r>
              <w:rPr>
                <w:b w:val="false"/>
                <w:bCs w:val="false"/>
                <w:color w:val="000000"/>
                <w:sz w:val="18"/>
                <w:szCs w:val="18"/>
              </w:rPr>
              <w:t xml:space="preserve">$112.29</w:t>
            </w:r>
          </w:p>
        </w:tc>
      </w:tr>
      <w:tr>
        <w:tc>
          <w:tcPr>
            <w:tcW w:type="dxa" w:w="4400"/>
            <w:vAlign w:val="center"/>
          </w:tcPr>
          <w:p>
            <w:r>
              <w:rPr>
                <w:b w:val="false"/>
                <w:bCs w:val="false"/>
                <w:color w:val="000000"/>
                <w:sz w:val="18"/>
                <w:szCs w:val="18"/>
              </w:rPr>
              <w:t xml:space="preserve">Fabrication labor cost [MA2/MA3]</w:t>
            </w:r>
          </w:p>
        </w:tc>
        <w:tc>
          <w:tcPr>
            <w:tcW w:type="dxa" w:w="2800"/>
            <w:vAlign w:val="center"/>
          </w:tcPr>
          <w:p>
            <w:r>
              <w:rPr>
                <w:b w:val="false"/>
                <w:bCs w:val="false"/>
                <w:color w:val="000000"/>
                <w:sz w:val="18"/>
                <w:szCs w:val="18"/>
              </w:rPr>
              <w:t xml:space="preserve">$38.83</w:t>
            </w:r>
          </w:p>
        </w:tc>
        <w:tc>
          <w:tcPr>
            <w:tcW w:type="dxa" w:w="2800"/>
            <w:vAlign w:val="center"/>
          </w:tcPr>
          <w:p>
            <w:r>
              <w:rPr>
                <w:b w:val="false"/>
                <w:bCs w:val="false"/>
                <w:color w:val="000000"/>
                <w:sz w:val="18"/>
                <w:szCs w:val="18"/>
              </w:rPr>
              <w:t xml:space="preserve">$42.22</w:t>
            </w:r>
          </w:p>
        </w:tc>
      </w:tr>
      <w:tr>
        <w:tc>
          <w:tcPr>
            <w:tcW w:type="dxa" w:w="4400"/>
            <w:vAlign w:val="center"/>
          </w:tcPr>
          <w:p>
            <w:r>
              <w:rPr>
                <w:b w:val="false"/>
                <w:bCs w:val="false"/>
                <w:color w:val="000000"/>
                <w:sz w:val="18"/>
                <w:szCs w:val="18"/>
              </w:rPr>
              <w:t xml:space="preserve">Site-prep cost [MA4/MA5]</w:t>
            </w:r>
          </w:p>
        </w:tc>
        <w:tc>
          <w:tcPr>
            <w:tcW w:type="dxa" w:w="2800"/>
            <w:vAlign w:val="center"/>
          </w:tcPr>
          <w:p>
            <w:r>
              <w:rPr>
                <w:b w:val="false"/>
                <w:bCs w:val="false"/>
                <w:color w:val="000000"/>
                <w:sz w:val="18"/>
                <w:szCs w:val="18"/>
              </w:rPr>
              <w:t xml:space="preserve">$524.89</w:t>
            </w:r>
          </w:p>
        </w:tc>
        <w:tc>
          <w:tcPr>
            <w:tcW w:type="dxa" w:w="2800"/>
            <w:vAlign w:val="center"/>
          </w:tcPr>
          <w:p>
            <w:r>
              <w:rPr>
                <w:b w:val="false"/>
                <w:bCs w:val="false"/>
                <w:color w:val="000000"/>
                <w:sz w:val="18"/>
                <w:szCs w:val="18"/>
              </w:rPr>
              <w:t xml:space="preserve">$484.50</w:t>
            </w:r>
          </w:p>
        </w:tc>
      </w:tr>
      <w:tr>
        <w:tc>
          <w:tcPr>
            <w:tcW w:type="dxa" w:w="4400"/>
            <w:vAlign w:val="center"/>
          </w:tcPr>
          <w:p>
            <w:r>
              <w:rPr>
                <w:b w:val="false"/>
                <w:bCs w:val="false"/>
                <w:color w:val="000000"/>
                <w:sz w:val="18"/>
                <w:szCs w:val="18"/>
              </w:rPr>
              <w:t xml:space="preserve">Total frame + site-prep cost</w:t>
            </w:r>
          </w:p>
        </w:tc>
        <w:tc>
          <w:tcPr>
            <w:tcW w:type="dxa" w:w="2800"/>
            <w:vAlign w:val="center"/>
          </w:tcPr>
          <w:p>
            <w:r>
              <w:rPr>
                <w:b w:val="false"/>
                <w:bCs w:val="false"/>
                <w:color w:val="000000"/>
                <w:sz w:val="18"/>
                <w:szCs w:val="18"/>
              </w:rPr>
              <w:t xml:space="preserve">$665.74</w:t>
            </w:r>
          </w:p>
        </w:tc>
        <w:tc>
          <w:tcPr>
            <w:tcW w:type="dxa" w:w="2800"/>
            <w:vAlign w:val="center"/>
          </w:tcPr>
          <w:p>
            <w:r>
              <w:rPr>
                <w:b w:val="false"/>
                <w:bCs w:val="false"/>
                <w:color w:val="000000"/>
                <w:sz w:val="18"/>
                <w:szCs w:val="18"/>
              </w:rPr>
              <w:t xml:space="preserve">$639.02</w:t>
            </w:r>
          </w:p>
        </w:tc>
      </w:tr>
      <w:tr>
        <w:tc>
          <w:tcPr>
            <w:tcW w:type="dxa" w:w="4400"/>
            <w:vAlign w:val="center"/>
          </w:tcPr>
          <w:p>
            <w:r>
              <w:rPr>
                <w:b w:val="false"/>
                <w:bCs w:val="false"/>
                <w:color w:val="000000"/>
                <w:sz w:val="18"/>
                <w:szCs w:val="18"/>
              </w:rPr>
              <w:t xml:space="preserve">Covered footprint (SEE APPENDIX B)</w:t>
            </w:r>
          </w:p>
        </w:tc>
        <w:tc>
          <w:tcPr>
            <w:tcW w:type="dxa" w:w="2800"/>
            <w:vAlign w:val="center"/>
          </w:tcPr>
          <w:p>
            <w:r>
              <w:rPr>
                <w:b w:val="false"/>
                <w:bCs w:val="false"/>
                <w:color w:val="000000"/>
                <w:sz w:val="18"/>
                <w:szCs w:val="18"/>
              </w:rPr>
              <w:t xml:space="preserve">477.17 sq ft</w:t>
            </w:r>
          </w:p>
        </w:tc>
        <w:tc>
          <w:tcPr>
            <w:tcW w:type="dxa" w:w="2800"/>
            <w:vAlign w:val="center"/>
          </w:tcPr>
          <w:p>
            <w:r>
              <w:rPr>
                <w:b w:val="false"/>
                <w:bCs w:val="false"/>
                <w:color w:val="000000"/>
                <w:sz w:val="18"/>
                <w:szCs w:val="18"/>
              </w:rPr>
              <w:t xml:space="preserve">510.00 sq ft</w:t>
            </w:r>
          </w:p>
        </w:tc>
      </w:tr>
      <w:tr>
        <w:tc>
          <w:tcPr>
            <w:tcW w:type="dxa" w:w="4400"/>
            <w:vAlign w:val="center"/>
          </w:tcPr>
          <w:p>
            <w:r>
              <w:rPr>
                <w:b w:val="false"/>
                <w:bCs w:val="false"/>
                <w:color w:val="000000"/>
                <w:sz w:val="18"/>
                <w:szCs w:val="18"/>
              </w:rPr>
              <w:t xml:space="preserve">Covered square feet per dollar</w:t>
            </w:r>
          </w:p>
        </w:tc>
        <w:tc>
          <w:tcPr>
            <w:tcW w:type="dxa" w:w="2800"/>
            <w:vAlign w:val="center"/>
          </w:tcPr>
          <w:p>
            <w:r>
              <w:rPr>
                <w:b w:val="false"/>
                <w:bCs w:val="false"/>
                <w:color w:val="000000"/>
                <w:sz w:val="18"/>
                <w:szCs w:val="18"/>
              </w:rPr>
              <w:t xml:space="preserve">0.7168</w:t>
            </w:r>
          </w:p>
        </w:tc>
        <w:tc>
          <w:tcPr>
            <w:tcW w:type="dxa" w:w="2800"/>
            <w:vAlign w:val="center"/>
          </w:tcPr>
          <w:p>
            <w:r>
              <w:rPr>
                <w:b w:val="false"/>
                <w:bCs w:val="false"/>
                <w:color w:val="000000"/>
                <w:sz w:val="18"/>
                <w:szCs w:val="18"/>
              </w:rPr>
              <w:t xml:space="preserve">0.7981</w:t>
            </w:r>
          </w:p>
        </w:tc>
      </w:tr>
    </w:tbl>
    <w:p>
      <w:pPr>
        <w:spacing w:after="160"/>
      </w:pPr>
      <w:r>
        <w:t xml:space="preserve">Every row above traces back to Appendices B, C, and E — D3 asks you to reproduce the hip-rafter lengths yourself; D5 asks you to reproduce the rest and state which option wins on the bottom row, and by how much.</w:t>
      </w:r>
    </w:p>
    <w:p>
      <w:pPr>
        <w:pStyle w:val="Heading1"/>
        <w:pBdr>
          <w:bottom w:val="single" w:color="c9a227" w:sz="12" w:space="4"/>
        </w:pBdr>
        <w:spacing w:after="160" w:before="300"/>
      </w:pPr>
      <w:r>
        <w:rPr>
          <w:b/>
          <w:bCs/>
          <w:color w:val="1a3a5c"/>
          <w:sz w:val="30"/>
          <w:szCs w:val="30"/>
        </w:rPr>
        <w:t xml:space="preserve">Appendix E — Modeling Assumptions</w:t>
      </w:r>
    </w:p>
    <w:p>
      <w:pPr>
        <w:spacing w:after="160"/>
      </w:pPr>
      <w:r>
        <w:rPr>
          <w:i/>
          <w:iCs/>
        </w:rPr>
        <w:t xml:space="preserve">These figures are not sourced. They are stated scenario assumptions chosen by the case author, each with a real basis named below. A Hero may challenge them in discussion — that is a legitimate move.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700"/>
      </w:tblGrid>
      <w:tr>
        <w:trPr>
          <w:tblHeader/>
        </w:trPr>
        <w:tc>
          <w:tcPr>
            <w:tcW w:type="dxa" w:w="900"/>
            <w:shd w:fill="1a3a5c" w:val="clear"/>
            <w:vAlign w:val="center"/>
          </w:tcPr>
          <w:p>
            <w:r>
              <w:rPr>
                <w:b/>
                <w:bCs/>
                <w:color w:val="FFFFFF"/>
                <w:sz w:val="18"/>
                <w:szCs w:val="18"/>
              </w:rPr>
              <w:t xml:space="preserve">#</w:t>
            </w:r>
          </w:p>
        </w:tc>
        <w:tc>
          <w:tcPr>
            <w:tcW w:type="dxa" w:w="2800"/>
            <w:shd w:fill="1a3a5c" w:val="clear"/>
            <w:vAlign w:val="center"/>
          </w:tcPr>
          <w:p>
            <w:r>
              <w:rPr>
                <w:b/>
                <w:bCs/>
                <w:color w:val="FFFFFF"/>
                <w:sz w:val="18"/>
                <w:szCs w:val="18"/>
              </w:rPr>
              <w:t xml:space="preserve">Assumption</w:t>
            </w:r>
          </w:p>
        </w:tc>
        <w:tc>
          <w:tcPr>
            <w:tcW w:type="dxa" w:w="3600"/>
            <w:shd w:fill="1a3a5c" w:val="clear"/>
            <w:vAlign w:val="center"/>
          </w:tcPr>
          <w:p>
            <w:r>
              <w:rPr>
                <w:b/>
                <w:bCs/>
                <w:color w:val="FFFFFF"/>
                <w:sz w:val="18"/>
                <w:szCs w:val="18"/>
              </w:rPr>
              <w:t xml:space="preserve">Basis</w:t>
            </w:r>
          </w:p>
        </w:tc>
        <w:tc>
          <w:tcPr>
            <w:tcW w:type="dxa" w:w="2700"/>
            <w:shd w:fill="1a3a5c" w:val="clear"/>
            <w:vAlign w:val="center"/>
          </w:tcPr>
          <w:p>
            <w:r>
              <w:rPr>
                <w:b/>
                <w:bCs/>
                <w:color w:val="FFFFFF"/>
                <w:sz w:val="18"/>
                <w:szCs w:val="18"/>
              </w:rPr>
              <w:t xml:space="preserve">Sensitivity</w:t>
            </w:r>
          </w:p>
        </w:tc>
      </w:tr>
      <w:tr>
        <w:tc>
          <w:tcPr>
            <w:tcW w:type="dxa" w:w="900"/>
            <w:vAlign w:val="center"/>
          </w:tcPr>
          <w:p>
            <w:r>
              <w:rPr>
                <w:b w:val="false"/>
                <w:bCs w:val="false"/>
                <w:color w:val="000000"/>
                <w:sz w:val="18"/>
                <w:szCs w:val="18"/>
              </w:rPr>
              <w:t xml:space="preserve">MA1</w:t>
            </w:r>
          </w:p>
        </w:tc>
        <w:tc>
          <w:tcPr>
            <w:tcW w:type="dxa" w:w="2800"/>
            <w:vAlign w:val="center"/>
          </w:tcPr>
          <w:p>
            <w:r>
              <w:rPr>
                <w:b w:val="false"/>
                <w:bCs w:val="false"/>
                <w:color w:val="000000"/>
                <w:sz w:val="18"/>
                <w:szCs w:val="18"/>
              </w:rPr>
              <w:t xml:space="preserve">The corner lot's buildable envelope, both frame options' side lengths and hip-rafter runs, the covered footprint areas, and five of the hexagon's six surveyed interior angles (Appendix B) are a constructed scenario, not a real address.</w:t>
            </w:r>
          </w:p>
        </w:tc>
        <w:tc>
          <w:tcPr>
            <w:tcW w:type="dxa" w:w="3600"/>
            <w:vAlign w:val="center"/>
          </w:tcPr>
          <w:p>
            <w:r>
              <w:rPr>
                <w:b w:val="false"/>
                <w:bCs w:val="false"/>
                <w:color w:val="000000"/>
                <w:sz w:val="18"/>
                <w:szCs w:val="18"/>
              </w:rPr>
              <w:t xml:space="preserve">No real property was used. The figures are built to be internally consistent with a real corner-lot infill site with a partially completed re-survey — a common, realistic situation for a small volunteer-driven public project.</w:t>
            </w:r>
          </w:p>
        </w:tc>
        <w:tc>
          <w:tcPr>
            <w:tcW w:type="dxa" w:w="2700"/>
            <w:vAlign w:val="center"/>
          </w:tcPr>
          <w:p>
            <w:r>
              <w:rPr>
                <w:b w:val="false"/>
                <w:bCs w:val="false"/>
                <w:color w:val="000000"/>
                <w:sz w:val="18"/>
                <w:szCs w:val="18"/>
              </w:rPr>
              <w:t xml:space="preserve">This defines the two frame designs being compared, not an uncertain quantity — if the sixth corner is later re-staked at a different angle, D2's arithmetic answer changes, but neither option's shape or the case's dilemma changes.</w:t>
            </w:r>
          </w:p>
        </w:tc>
      </w:tr>
      <w:tr>
        <w:tc>
          <w:tcPr>
            <w:tcW w:type="dxa" w:w="900"/>
            <w:vAlign w:val="center"/>
          </w:tcPr>
          <w:p>
            <w:r>
              <w:rPr>
                <w:b w:val="false"/>
                <w:bCs w:val="false"/>
                <w:color w:val="000000"/>
                <w:sz w:val="18"/>
                <w:szCs w:val="18"/>
              </w:rPr>
              <w:t xml:space="preserve">MA2</w:t>
            </w:r>
          </w:p>
        </w:tc>
        <w:tc>
          <w:tcPr>
            <w:tcW w:type="dxa" w:w="2800"/>
            <w:vAlign w:val="center"/>
          </w:tcPr>
          <w:p>
            <w:r>
              <w:rPr>
                <w:b w:val="false"/>
                <w:bCs w:val="false"/>
                <w:color w:val="000000"/>
                <w:sz w:val="18"/>
                <w:szCs w:val="18"/>
              </w:rPr>
              <w:t xml:space="preserve">Time to mark and cut one of Option A's identical hip rafters (a “batch cut”)</w:t>
            </w:r>
          </w:p>
        </w:tc>
        <w:tc>
          <w:tcPr>
            <w:tcW w:type="dxa" w:w="3600"/>
            <w:vAlign w:val="center"/>
          </w:tcPr>
          <w:p>
            <w:r>
              <w:rPr>
                <w:b w:val="false"/>
                <w:bCs w:val="false"/>
                <w:color w:val="000000"/>
                <w:sz w:val="18"/>
                <w:szCs w:val="18"/>
              </w:rPr>
              <w:t xml:space="preserve">A single-pattern, single-bevel cut repeated down a run of identical pieces — a fast, well-established shop operation once the first piece is pattern-cut. No public per-cut timing study exists for this specific operation.</w:t>
            </w:r>
          </w:p>
        </w:tc>
        <w:tc>
          <w:tcPr>
            <w:tcW w:type="dxa" w:w="2700"/>
            <w:vAlign w:val="center"/>
          </w:tcPr>
          <w:p>
            <w:r>
              <w:rPr>
                <w:b w:val="false"/>
                <w:bCs w:val="false"/>
                <w:color w:val="000000"/>
                <w:sz w:val="18"/>
                <w:szCs w:val="18"/>
              </w:rPr>
              <w:t xml:space="preserve">The answer is sensitive to this value.</w:t>
            </w:r>
          </w:p>
        </w:tc>
      </w:tr>
      <w:tr>
        <w:tc>
          <w:tcPr>
            <w:tcW w:type="dxa" w:w="900"/>
            <w:vAlign w:val="center"/>
          </w:tcPr>
          <w:p>
            <w:r>
              <w:rPr>
                <w:b w:val="false"/>
                <w:bCs w:val="false"/>
                <w:color w:val="000000"/>
                <w:sz w:val="18"/>
                <w:szCs w:val="18"/>
              </w:rPr>
              <w:t xml:space="preserve">MA3</w:t>
            </w:r>
          </w:p>
        </w:tc>
        <w:tc>
          <w:tcPr>
            <w:tcW w:type="dxa" w:w="2800"/>
            <w:vAlign w:val="center"/>
          </w:tcPr>
          <w:p>
            <w:r>
              <w:rPr>
                <w:b w:val="false"/>
                <w:bCs w:val="false"/>
                <w:color w:val="000000"/>
                <w:sz w:val="18"/>
                <w:szCs w:val="18"/>
              </w:rPr>
              <w:t xml:space="preserve">Time to mark and cut one of Option B's non-identical hip rafters, as a premium over MA2</w:t>
            </w:r>
          </w:p>
        </w:tc>
        <w:tc>
          <w:tcPr>
            <w:tcW w:type="dxa" w:w="3600"/>
            <w:vAlign w:val="center"/>
          </w:tcPr>
          <w:p>
            <w:r>
              <w:rPr>
                <w:b w:val="false"/>
                <w:bCs w:val="false"/>
                <w:color w:val="000000"/>
                <w:sz w:val="18"/>
                <w:szCs w:val="18"/>
              </w:rPr>
              <w:t xml:space="preserve">Each of Option B's six hip rafters needs its own layout and test-fit because none of them share a pattern — a real, describable difference in shop operation, anchored to a sourced range for custom/non-repeated framing labor [S3]. No public per-cut timing study exists for this specific operation.</w:t>
            </w:r>
          </w:p>
        </w:tc>
        <w:tc>
          <w:tcPr>
            <w:tcW w:type="dxa" w:w="2700"/>
            <w:vAlign w:val="center"/>
          </w:tcPr>
          <w:p>
            <w:r>
              <w:rPr>
                <w:b w:val="false"/>
                <w:bCs w:val="false"/>
                <w:color w:val="000000"/>
                <w:sz w:val="18"/>
                <w:szCs w:val="18"/>
              </w:rPr>
              <w:t xml:space="preserve">The answer is sensitive to this value.</w:t>
            </w:r>
          </w:p>
        </w:tc>
      </w:tr>
      <w:tr>
        <w:tc>
          <w:tcPr>
            <w:tcW w:type="dxa" w:w="900"/>
            <w:vAlign w:val="center"/>
          </w:tcPr>
          <w:p>
            <w:r>
              <w:rPr>
                <w:b w:val="false"/>
                <w:bCs w:val="false"/>
                <w:color w:val="000000"/>
                <w:sz w:val="18"/>
                <w:szCs w:val="18"/>
              </w:rPr>
              <w:t xml:space="preserve">MA4</w:t>
            </w:r>
          </w:p>
        </w:tc>
        <w:tc>
          <w:tcPr>
            <w:tcW w:type="dxa" w:w="2800"/>
            <w:vAlign w:val="center"/>
          </w:tcPr>
          <w:p>
            <w:r>
              <w:rPr>
                <w:b w:val="false"/>
                <w:bCs w:val="false"/>
                <w:color w:val="000000"/>
                <w:sz w:val="18"/>
                <w:szCs w:val="18"/>
              </w:rPr>
              <w:t xml:space="preserve">Site-prep grading rate, Option A</w:t>
            </w:r>
          </w:p>
        </w:tc>
        <w:tc>
          <w:tcPr>
            <w:tcW w:type="dxa" w:w="3600"/>
            <w:vAlign w:val="center"/>
          </w:tcPr>
          <w:p>
            <w:r>
              <w:rPr>
                <w:b w:val="false"/>
                <w:bCs w:val="false"/>
                <w:color w:val="000000"/>
                <w:sz w:val="18"/>
                <w:szCs w:val="18"/>
              </w:rPr>
              <w:t xml:space="preserve">The Even Eight's symmetric footprint does not track the buildable envelope's existing grade the way a custom-fit shape can, so more of its footprint needs full cut-and-fill regrading. Anchored inside a sourced rough-grading cost range [S4].</w:t>
            </w:r>
          </w:p>
        </w:tc>
        <w:tc>
          <w:tcPr>
            <w:tcW w:type="dxa" w:w="2700"/>
            <w:vAlign w:val="center"/>
          </w:tcPr>
          <w:p>
            <w:r>
              <w:rPr>
                <w:b w:val="false"/>
                <w:bCs w:val="false"/>
                <w:color w:val="000000"/>
                <w:sz w:val="18"/>
                <w:szCs w:val="18"/>
              </w:rPr>
              <w:t xml:space="preserve">The answer is sensitive to this value.</w:t>
            </w:r>
          </w:p>
        </w:tc>
      </w:tr>
      <w:tr>
        <w:tc>
          <w:tcPr>
            <w:tcW w:type="dxa" w:w="900"/>
            <w:vAlign w:val="center"/>
          </w:tcPr>
          <w:p>
            <w:r>
              <w:rPr>
                <w:b w:val="false"/>
                <w:bCs w:val="false"/>
                <w:color w:val="000000"/>
                <w:sz w:val="18"/>
                <w:szCs w:val="18"/>
              </w:rPr>
              <w:t xml:space="preserve">MA5</w:t>
            </w:r>
          </w:p>
        </w:tc>
        <w:tc>
          <w:tcPr>
            <w:tcW w:type="dxa" w:w="2800"/>
            <w:vAlign w:val="center"/>
          </w:tcPr>
          <w:p>
            <w:r>
              <w:rPr>
                <w:b w:val="false"/>
                <w:bCs w:val="false"/>
                <w:color w:val="000000"/>
                <w:sz w:val="18"/>
                <w:szCs w:val="18"/>
              </w:rPr>
              <w:t xml:space="preserve">Site-prep grading rate, Option B</w:t>
            </w:r>
          </w:p>
        </w:tc>
        <w:tc>
          <w:tcPr>
            <w:tcW w:type="dxa" w:w="3600"/>
            <w:vAlign w:val="center"/>
          </w:tcPr>
          <w:p>
            <w:r>
              <w:rPr>
                <w:b w:val="false"/>
                <w:bCs w:val="false"/>
                <w:color w:val="000000"/>
                <w:sz w:val="18"/>
                <w:szCs w:val="18"/>
              </w:rPr>
              <w:t xml:space="preserve">The Site Six's vertices were chosen to follow the buildable envelope's existing grade, so only light finish grading is needed. Anchored inside a sourced fine/finish-grading cost range [S4].</w:t>
            </w:r>
          </w:p>
        </w:tc>
        <w:tc>
          <w:tcPr>
            <w:tcW w:type="dxa" w:w="2700"/>
            <w:vAlign w:val="center"/>
          </w:tcPr>
          <w:p>
            <w:r>
              <w:rPr>
                <w:b w:val="false"/>
                <w:bCs w:val="false"/>
                <w:color w:val="000000"/>
                <w:sz w:val="18"/>
                <w:szCs w:val="18"/>
              </w:rPr>
              <w:t xml:space="preserve">The answer is sensitive to this value.</w:t>
            </w:r>
          </w:p>
        </w:tc>
      </w:tr>
    </w:tbl>
    <w:p>
      <w:pPr>
        <w:pStyle w:val="Heading1"/>
        <w:pBdr>
          <w:bottom w:val="single" w:color="c9a227" w:sz="12" w:space="4"/>
        </w:pBdr>
        <w:spacing w:after="160" w:before="300"/>
      </w:pPr>
      <w:r>
        <w:rPr>
          <w:b/>
          <w:bCs/>
          <w:color w:val="1a3a5c"/>
          <w:sz w:val="30"/>
          <w:szCs w:val="30"/>
        </w:rPr>
        <w:t xml:space="preserve">Appendix F —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2500"/>
        <w:gridCol w:w="1200"/>
        <w:gridCol w:w="1100"/>
      </w:tblGrid>
      <w:tr>
        <w:trPr>
          <w:tblHeader/>
        </w:trPr>
        <w:tc>
          <w:tcPr>
            <w:tcW w:type="dxa" w:w="700"/>
            <w:shd w:fill="1a3a5c" w:val="clear"/>
            <w:vAlign w:val="center"/>
          </w:tcPr>
          <w:p>
            <w:r>
              <w:rPr>
                <w:b/>
                <w:bCs/>
                <w:color w:val="FFFFFF"/>
                <w:sz w:val="18"/>
                <w:szCs w:val="18"/>
              </w:rPr>
              <w:t xml:space="preserve">id</w:t>
            </w:r>
          </w:p>
        </w:tc>
        <w:tc>
          <w:tcPr>
            <w:tcW w:type="dxa" w:w="2000"/>
            <w:shd w:fill="1a3a5c" w:val="clear"/>
            <w:vAlign w:val="center"/>
          </w:tcPr>
          <w:p>
            <w:r>
              <w:rPr>
                <w:b/>
                <w:bCs/>
                <w:color w:val="FFFFFF"/>
                <w:sz w:val="18"/>
                <w:szCs w:val="18"/>
              </w:rPr>
              <w:t xml:space="preserve">Claim</w:t>
            </w:r>
          </w:p>
        </w:tc>
        <w:tc>
          <w:tcPr>
            <w:tcW w:type="dxa" w:w="2500"/>
            <w:shd w:fill="1a3a5c" w:val="clear"/>
            <w:vAlign w:val="center"/>
          </w:tcPr>
          <w:p>
            <w:r>
              <w:rPr>
                <w:b/>
                <w:bCs/>
                <w:color w:val="FFFFFF"/>
                <w:sz w:val="18"/>
                <w:szCs w:val="18"/>
              </w:rPr>
              <w:t xml:space="preserve">Value</w:t>
            </w:r>
          </w:p>
        </w:tc>
        <w:tc>
          <w:tcPr>
            <w:tcW w:type="dxa" w:w="2500"/>
            <w:shd w:fill="1a3a5c" w:val="clear"/>
            <w:vAlign w:val="center"/>
          </w:tcPr>
          <w:p>
            <w:r>
              <w:rPr>
                <w:b/>
                <w:bCs/>
                <w:color w:val="FFFFFF"/>
                <w:sz w:val="18"/>
                <w:szCs w:val="18"/>
              </w:rPr>
              <w:t xml:space="preserve">Source</w:t>
            </w:r>
          </w:p>
        </w:tc>
        <w:tc>
          <w:tcPr>
            <w:tcW w:type="dxa" w:w="1200"/>
            <w:shd w:fill="1a3a5c" w:val="clear"/>
            <w:vAlign w:val="center"/>
          </w:tcPr>
          <w:p>
            <w:r>
              <w:rPr>
                <w:b/>
                <w:bCs/>
                <w:color w:val="FFFFFF"/>
                <w:sz w:val="18"/>
                <w:szCs w:val="18"/>
              </w:rPr>
              <w:t xml:space="preserve">Accessed</w:t>
            </w:r>
          </w:p>
        </w:tc>
        <w:tc>
          <w:tcPr>
            <w:tcW w:type="dxa" w:w="1100"/>
            <w:shd w:fill="1a3a5c" w:val="clear"/>
            <w:vAlign w:val="center"/>
          </w:tcPr>
          <w:p>
            <w:r>
              <w:rPr>
                <w:b/>
                <w:bCs/>
                <w:color w:val="FFFFFF"/>
                <w:sz w:val="18"/>
                <w:szCs w:val="18"/>
              </w:rPr>
              <w:t xml:space="preserve">Confidence</w:t>
            </w:r>
          </w:p>
        </w:tc>
      </w:tr>
      <w:tr>
        <w:tc>
          <w:tcPr>
            <w:tcW w:type="dxa" w:w="700"/>
            <w:vAlign w:val="center"/>
          </w:tcPr>
          <w:p>
            <w:r>
              <w:rPr>
                <w:b w:val="false"/>
                <w:bCs w:val="false"/>
                <w:color w:val="000000"/>
                <w:sz w:val="18"/>
                <w:szCs w:val="18"/>
              </w:rPr>
              <w:t xml:space="preserve">S1</w:t>
            </w:r>
          </w:p>
        </w:tc>
        <w:tc>
          <w:tcPr>
            <w:tcW w:type="dxa" w:w="2000"/>
            <w:vAlign w:val="center"/>
          </w:tcPr>
          <w:p>
            <w:r>
              <w:rPr>
                <w:b w:val="false"/>
                <w:bCs w:val="false"/>
                <w:color w:val="000000"/>
                <w:sz w:val="18"/>
                <w:szCs w:val="18"/>
              </w:rPr>
              <w:t xml:space="preserve">Framing lumber composite price</w:t>
            </w:r>
          </w:p>
        </w:tc>
        <w:tc>
          <w:tcPr>
            <w:tcW w:type="dxa" w:w="2500"/>
            <w:vAlign w:val="center"/>
          </w:tcPr>
          <w:p>
            <w:r>
              <w:rPr>
                <w:b w:val="false"/>
                <w:bCs w:val="false"/>
                <w:color w:val="000000"/>
                <w:sz w:val="18"/>
                <w:szCs w:val="18"/>
              </w:rPr>
              <w:t xml:space="preserve">$521.35 per 1,000 board feet, week of August 28, 2026</w:t>
            </w:r>
          </w:p>
        </w:tc>
        <w:tc>
          <w:tcPr>
            <w:tcW w:type="dxa" w:w="2500"/>
            <w:vAlign w:val="center"/>
          </w:tcPr>
          <w:p>
            <w:r>
              <w:rPr>
                <w:b w:val="false"/>
                <w:bCs w:val="false"/>
                <w:color w:val="000000"/>
                <w:sz w:val="18"/>
                <w:szCs w:val="18"/>
              </w:rPr>
              <w:t xml:space="preserve">NAHB, “Framing Lumber Prices” (Madison's Lumber Price Index, as republished by the National Association of Home Builders)</w:t>
            </w:r>
          </w:p>
        </w:tc>
        <w:tc>
          <w:tcPr>
            <w:tcW w:type="dxa" w:w="1200"/>
            <w:vAlign w:val="center"/>
          </w:tcPr>
          <w:p>
            <w:r>
              <w:rPr>
                <w:b w:val="false"/>
                <w:bCs w:val="false"/>
                <w:color w:val="000000"/>
                <w:sz w:val="18"/>
                <w:szCs w:val="18"/>
              </w:rPr>
              <w:t xml:space="preserve">2026-09-05</w:t>
            </w:r>
          </w:p>
        </w:tc>
        <w:tc>
          <w:tcPr>
            <w:tcW w:type="dxa" w:w="1100"/>
            <w:vAlign w:val="center"/>
          </w:tcPr>
          <w:p>
            <w:r>
              <w:rPr>
                <w:b w:val="false"/>
                <w:bCs w:val="false"/>
                <w:color w:val="000000"/>
                <w:sz w:val="18"/>
                <w:szCs w:val="18"/>
              </w:rPr>
              <w:t xml:space="preserve">HIGH</w:t>
            </w:r>
          </w:p>
        </w:tc>
      </w:tr>
      <w:tr>
        <w:tc>
          <w:tcPr>
            <w:tcW w:type="dxa" w:w="700"/>
            <w:vAlign w:val="center"/>
          </w:tcPr>
          <w:p>
            <w:r>
              <w:rPr>
                <w:b w:val="false"/>
                <w:bCs w:val="false"/>
                <w:color w:val="000000"/>
                <w:sz w:val="18"/>
                <w:szCs w:val="18"/>
              </w:rPr>
              <w:t xml:space="preserve">S2</w:t>
            </w:r>
          </w:p>
        </w:tc>
        <w:tc>
          <w:tcPr>
            <w:tcW w:type="dxa" w:w="2000"/>
            <w:vAlign w:val="center"/>
          </w:tcPr>
          <w:p>
            <w:r>
              <w:rPr>
                <w:b w:val="false"/>
                <w:bCs w:val="false"/>
                <w:color w:val="000000"/>
                <w:sz w:val="18"/>
                <w:szCs w:val="18"/>
              </w:rPr>
              <w:t xml:space="preserve">Median hourly wage, carpenters, United States</w:t>
            </w:r>
          </w:p>
        </w:tc>
        <w:tc>
          <w:tcPr>
            <w:tcW w:type="dxa" w:w="2500"/>
            <w:vAlign w:val="center"/>
          </w:tcPr>
          <w:p>
            <w:r>
              <w:rPr>
                <w:b w:val="false"/>
                <w:bCs w:val="false"/>
                <w:color w:val="000000"/>
                <w:sz w:val="18"/>
                <w:szCs w:val="18"/>
              </w:rPr>
              <w:t xml:space="preserve">$29.12/hr (derived from $60,580/yr), May 2025 data</w:t>
            </w:r>
          </w:p>
        </w:tc>
        <w:tc>
          <w:tcPr>
            <w:tcW w:type="dxa" w:w="2500"/>
            <w:vAlign w:val="center"/>
          </w:tcPr>
          <w:p>
            <w:r>
              <w:rPr>
                <w:b w:val="false"/>
                <w:bCs w:val="false"/>
                <w:color w:val="000000"/>
                <w:sz w:val="18"/>
                <w:szCs w:val="18"/>
              </w:rPr>
              <w:t xml:space="preserve">U.S. Bureau of Labor Statistics, Occupational Outlook Handbook, “Carpenters”</w:t>
            </w:r>
          </w:p>
        </w:tc>
        <w:tc>
          <w:tcPr>
            <w:tcW w:type="dxa" w:w="1200"/>
            <w:vAlign w:val="center"/>
          </w:tcPr>
          <w:p>
            <w:r>
              <w:rPr>
                <w:b w:val="false"/>
                <w:bCs w:val="false"/>
                <w:color w:val="000000"/>
                <w:sz w:val="18"/>
                <w:szCs w:val="18"/>
              </w:rPr>
              <w:t xml:space="preserve">2026-09-05</w:t>
            </w:r>
          </w:p>
        </w:tc>
        <w:tc>
          <w:tcPr>
            <w:tcW w:type="dxa" w:w="1100"/>
            <w:vAlign w:val="center"/>
          </w:tcPr>
          <w:p>
            <w:r>
              <w:rPr>
                <w:b w:val="false"/>
                <w:bCs w:val="false"/>
                <w:color w:val="000000"/>
                <w:sz w:val="18"/>
                <w:szCs w:val="18"/>
              </w:rPr>
              <w:t xml:space="preserve">HIGH</w:t>
            </w:r>
          </w:p>
        </w:tc>
      </w:tr>
      <w:tr>
        <w:tc>
          <w:tcPr>
            <w:tcW w:type="dxa" w:w="700"/>
            <w:vAlign w:val="center"/>
          </w:tcPr>
          <w:p>
            <w:r>
              <w:rPr>
                <w:b w:val="false"/>
                <w:bCs w:val="false"/>
                <w:color w:val="000000"/>
                <w:sz w:val="18"/>
                <w:szCs w:val="18"/>
              </w:rPr>
              <w:t xml:space="preserve">S3</w:t>
            </w:r>
          </w:p>
        </w:tc>
        <w:tc>
          <w:tcPr>
            <w:tcW w:type="dxa" w:w="2000"/>
            <w:vAlign w:val="center"/>
          </w:tcPr>
          <w:p>
            <w:r>
              <w:rPr>
                <w:b w:val="false"/>
                <w:bCs w:val="false"/>
                <w:color w:val="000000"/>
                <w:sz w:val="18"/>
                <w:szCs w:val="18"/>
              </w:rPr>
              <w:t xml:space="preserve">Cost premium for custom/non-repeated framing labor over simple, repeated framing</w:t>
            </w:r>
          </w:p>
        </w:tc>
        <w:tc>
          <w:tcPr>
            <w:tcW w:type="dxa" w:w="2500"/>
            <w:vAlign w:val="center"/>
          </w:tcPr>
          <w:p>
            <w:r>
              <w:rPr>
                <w:b w:val="false"/>
                <w:bCs w:val="false"/>
                <w:color w:val="000000"/>
                <w:sz w:val="18"/>
                <w:szCs w:val="18"/>
              </w:rPr>
              <w:t xml:space="preserve">30% to 60% added to baseline framing labor for angled, non-rectangular, or specialty-cut work versus simple repeated members</w:t>
            </w:r>
          </w:p>
        </w:tc>
        <w:tc>
          <w:tcPr>
            <w:tcW w:type="dxa" w:w="2500"/>
            <w:vAlign w:val="center"/>
          </w:tcPr>
          <w:p>
            <w:r>
              <w:rPr>
                <w:b w:val="false"/>
                <w:bCs w:val="false"/>
                <w:color w:val="000000"/>
                <w:sz w:val="18"/>
                <w:szCs w:val="18"/>
              </w:rPr>
              <w:t xml:space="preserve">EB3 Construction, “How To Estimate Framing Costs Per Square Foot: A Quick Guide”</w:t>
            </w:r>
          </w:p>
        </w:tc>
        <w:tc>
          <w:tcPr>
            <w:tcW w:type="dxa" w:w="1200"/>
            <w:vAlign w:val="center"/>
          </w:tcPr>
          <w:p>
            <w:r>
              <w:rPr>
                <w:b w:val="false"/>
                <w:bCs w:val="false"/>
                <w:color w:val="000000"/>
                <w:sz w:val="18"/>
                <w:szCs w:val="18"/>
              </w:rPr>
              <w:t xml:space="preserve">2026-09-05</w:t>
            </w:r>
          </w:p>
        </w:tc>
        <w:tc>
          <w:tcPr>
            <w:tcW w:type="dxa" w:w="1100"/>
            <w:vAlign w:val="center"/>
          </w:tcPr>
          <w:p>
            <w:r>
              <w:rPr>
                <w:b w:val="false"/>
                <w:bCs w:val="false"/>
                <w:color w:val="000000"/>
                <w:sz w:val="18"/>
                <w:szCs w:val="18"/>
              </w:rPr>
              <w:t xml:space="preserve">MEDIUM</w:t>
            </w:r>
          </w:p>
        </w:tc>
      </w:tr>
      <w:tr>
        <w:tc>
          <w:tcPr>
            <w:tcW w:type="dxa" w:w="700"/>
            <w:vAlign w:val="center"/>
          </w:tcPr>
          <w:p>
            <w:r>
              <w:rPr>
                <w:b w:val="false"/>
                <w:bCs w:val="false"/>
                <w:color w:val="000000"/>
                <w:sz w:val="18"/>
                <w:szCs w:val="18"/>
              </w:rPr>
              <w:t xml:space="preserve">S4</w:t>
            </w:r>
          </w:p>
        </w:tc>
        <w:tc>
          <w:tcPr>
            <w:tcW w:type="dxa" w:w="2000"/>
            <w:vAlign w:val="center"/>
          </w:tcPr>
          <w:p>
            <w:r>
              <w:rPr>
                <w:b w:val="false"/>
                <w:bCs w:val="false"/>
                <w:color w:val="000000"/>
                <w:sz w:val="18"/>
                <w:szCs w:val="18"/>
              </w:rPr>
              <w:t xml:space="preserve">Land grading cost: fine/finish grading, and rough grading</w:t>
            </w:r>
          </w:p>
        </w:tc>
        <w:tc>
          <w:tcPr>
            <w:tcW w:type="dxa" w:w="2500"/>
            <w:vAlign w:val="center"/>
          </w:tcPr>
          <w:p>
            <w:r>
              <w:rPr>
                <w:b w:val="false"/>
                <w:bCs w:val="false"/>
                <w:color w:val="000000"/>
                <w:sz w:val="18"/>
                <w:szCs w:val="18"/>
              </w:rPr>
              <w:t xml:space="preserve">$0.40–$1.00/sq ft (fine/finish); $1.00–$2.00/sq ft (rough)</w:t>
            </w:r>
          </w:p>
        </w:tc>
        <w:tc>
          <w:tcPr>
            <w:tcW w:type="dxa" w:w="2500"/>
            <w:vAlign w:val="center"/>
          </w:tcPr>
          <w:p>
            <w:r>
              <w:rPr>
                <w:b w:val="false"/>
                <w:bCs w:val="false"/>
                <w:color w:val="000000"/>
                <w:sz w:val="18"/>
                <w:szCs w:val="18"/>
              </w:rPr>
              <w:t xml:space="preserve">Lawn Love, “How Much Does Land Grading Cost?”</w:t>
            </w:r>
          </w:p>
        </w:tc>
        <w:tc>
          <w:tcPr>
            <w:tcW w:type="dxa" w:w="1200"/>
            <w:vAlign w:val="center"/>
          </w:tcPr>
          <w:p>
            <w:r>
              <w:rPr>
                <w:b w:val="false"/>
                <w:bCs w:val="false"/>
                <w:color w:val="000000"/>
                <w:sz w:val="18"/>
                <w:szCs w:val="18"/>
              </w:rPr>
              <w:t xml:space="preserve">2026-09-05</w:t>
            </w:r>
          </w:p>
        </w:tc>
        <w:tc>
          <w:tcPr>
            <w:tcW w:type="dxa" w:w="1100"/>
            <w:vAlign w:val="center"/>
          </w:tcPr>
          <w:p>
            <w:r>
              <w:rPr>
                <w:b w:val="false"/>
                <w:bCs w:val="false"/>
                <w:color w:val="000000"/>
                <w:sz w:val="18"/>
                <w:szCs w:val="18"/>
              </w:rPr>
              <w:t xml:space="preserve">MEDIUM</w:t>
            </w:r>
          </w:p>
        </w:tc>
      </w:tr>
    </w:tbl>
    <w:p>
      <w:pPr>
        <w:spacing w:after="80"/>
      </w:pPr>
      <w:r>
        <w:rPr>
          <w:b/>
          <w:bCs/>
          <w:sz w:val="20"/>
          <w:szCs w:val="20"/>
        </w:rPr>
        <w:t xml:space="preserve">S1 — </w:t>
      </w:r>
      <w:hyperlink w:history="1" r:id="rIdrk1vz-nqmydqe8dzcac7o">
        <w:r>
          <w:rPr>
            <w:rStyle w:val="Hyperlink"/>
            <w:color w:val="1a3a5c"/>
            <w:u w:val="single"/>
          </w:rPr>
          <w:t xml:space="preserve">nahb.org/news-and-economics/housing-economics/national-statistics/framing-lumber-prices</w:t>
        </w:r>
      </w:hyperlink>
    </w:p>
    <w:p>
      <w:pPr>
        <w:spacing w:after="80"/>
      </w:pPr>
      <w:r>
        <w:rPr>
          <w:b/>
          <w:bCs/>
          <w:sz w:val="20"/>
          <w:szCs w:val="20"/>
        </w:rPr>
        <w:t xml:space="preserve">S2 — </w:t>
      </w:r>
      <w:hyperlink w:history="1" r:id="rIdn2_bxkpcigyn7qcrtnd7u">
        <w:r>
          <w:rPr>
            <w:rStyle w:val="Hyperlink"/>
            <w:color w:val="1a3a5c"/>
            <w:u w:val="single"/>
          </w:rPr>
          <w:t xml:space="preserve">bls.gov/ooh/construction-and-extraction/carpenters.htm</w:t>
        </w:r>
      </w:hyperlink>
    </w:p>
    <w:p>
      <w:pPr>
        <w:spacing w:after="80"/>
      </w:pPr>
      <w:r>
        <w:rPr>
          <w:b/>
          <w:bCs/>
          <w:sz w:val="20"/>
          <w:szCs w:val="20"/>
        </w:rPr>
        <w:t xml:space="preserve">S3 — </w:t>
      </w:r>
      <w:hyperlink w:history="1" r:id="rId_gsdbzdoesafarzwxvltb">
        <w:r>
          <w:rPr>
            <w:rStyle w:val="Hyperlink"/>
            <w:color w:val="1a3a5c"/>
            <w:u w:val="single"/>
          </w:rPr>
          <w:t xml:space="preserve">blog.eb3construction.com/construction/project-management/framing-costs-per-square-foot</w:t>
        </w:r>
      </w:hyperlink>
    </w:p>
    <w:p>
      <w:pPr>
        <w:spacing w:after="160"/>
      </w:pPr>
      <w:r>
        <w:rPr>
          <w:b/>
          <w:bCs/>
          <w:sz w:val="20"/>
          <w:szCs w:val="20"/>
        </w:rPr>
        <w:t xml:space="preserve">S4 — </w:t>
      </w:r>
      <w:hyperlink w:history="1" r:id="rIdodlnjlqu7vrgvw0iflot1">
        <w:r>
          <w:rPr>
            <w:rStyle w:val="Hyperlink"/>
            <w:color w:val="1a3a5c"/>
            <w:u w:val="single"/>
          </w:rPr>
          <w:t xml:space="preserve">lawnlove.com/blog/land-grading-cost</w:t>
        </w:r>
      </w:hyperlink>
    </w:p>
    <w:p>
      <w:pPr>
        <w:pStyle w:val="Heading1"/>
        <w:pBdr>
          <w:bottom w:val="single" w:color="c9a227" w:sz="12" w:space="4"/>
        </w:pBdr>
        <w:spacing w:after="160" w:before="300"/>
      </w:pPr>
      <w:r>
        <w:rPr>
          <w:b/>
          <w:bCs/>
          <w:color w:val="1a3a5c"/>
          <w:sz w:val="30"/>
          <w:szCs w:val="30"/>
        </w:rPr>
        <w:t xml:space="preserve">Appendix G — Learn More</w:t>
      </w:r>
    </w:p>
    <w:p>
      <w:pPr>
        <w:spacing w:after="160"/>
      </w:pPr>
      <w:r>
        <w:t xml:space="preserve">Curious about the real-world math and industry behind this case? These resources go beyond what the challenges require.</w:t>
      </w:r>
    </w:p>
    <w:p>
      <w:pPr>
        <w:pStyle w:val="ListParagraph"/>
        <w:numPr>
          <w:ilvl w:val="0"/>
          <w:numId w:val="2"/>
        </w:numPr>
        <w:spacing w:after="100"/>
      </w:pPr>
      <w:r>
        <w:rPr>
          <w:sz w:val="20"/>
          <w:szCs w:val="20"/>
        </w:rPr>
        <w:t xml:space="preserve">Regular polygon — Wikipedia — </w:t>
      </w:r>
      <w:hyperlink w:history="1" r:id="rId_z1rrumgp4zlzlyqia5pg">
        <w:r>
          <w:rPr>
            <w:rStyle w:val="Hyperlink"/>
            <w:color w:val="1a3a5c"/>
            <w:u w:val="single"/>
          </w:rPr>
          <w:t xml:space="preserve">en.wikipedia.org/wiki/Regular_polygon</w:t>
        </w:r>
      </w:hyperlink>
      <w:r>
        <w:rPr>
          <w:sz w:val="20"/>
          <w:szCs w:val="20"/>
        </w:rPr>
        <w:t xml:space="preserve"> — background on regular polygons and why their interior angles are always congruent.</w:t>
      </w:r>
    </w:p>
    <w:p>
      <w:pPr>
        <w:pStyle w:val="ListParagraph"/>
        <w:numPr>
          <w:ilvl w:val="0"/>
          <w:numId w:val="2"/>
        </w:numPr>
        <w:spacing w:after="100"/>
      </w:pPr>
      <w:r>
        <w:rPr>
          <w:sz w:val="20"/>
          <w:szCs w:val="20"/>
        </w:rPr>
        <w:t xml:space="preserve">Interior angle — Wikipedia — </w:t>
      </w:r>
      <w:hyperlink w:history="1" r:id="rId8vcjlywrhqr-sym0pncks">
        <w:r>
          <w:rPr>
            <w:rStyle w:val="Hyperlink"/>
            <w:color w:val="1a3a5c"/>
            <w:u w:val="single"/>
          </w:rPr>
          <w:t xml:space="preserve">en.wikipedia.org/wiki/Internal_angle</w:t>
        </w:r>
      </w:hyperlink>
      <w:r>
        <w:rPr>
          <w:sz w:val="20"/>
          <w:szCs w:val="20"/>
        </w:rPr>
        <w:t xml:space="preserve"> — the sum-of-interior-angles theorem this case's D2 depends on, for both regular and irregular polygons.</w:t>
      </w:r>
    </w:p>
    <w:p>
      <w:pPr>
        <w:pStyle w:val="ListParagraph"/>
        <w:numPr>
          <w:ilvl w:val="0"/>
          <w:numId w:val="2"/>
        </w:numPr>
        <w:spacing w:after="100"/>
      </w:pPr>
      <w:r>
        <w:rPr>
          <w:sz w:val="20"/>
          <w:szCs w:val="20"/>
        </w:rPr>
        <w:t xml:space="preserve">Hip roof — Wikipedia — </w:t>
      </w:r>
      <w:hyperlink w:history="1" r:id="rIdocbk8wxbr2twpervhoeqp">
        <w:r>
          <w:rPr>
            <w:rStyle w:val="Hyperlink"/>
            <w:color w:val="1a3a5c"/>
            <w:u w:val="single"/>
          </w:rPr>
          <w:t xml:space="preserve">en.wikipedia.org/wiki/Hip_roof</w:t>
        </w:r>
      </w:hyperlink>
      <w:r>
        <w:rPr>
          <w:sz w:val="20"/>
          <w:szCs w:val="20"/>
        </w:rPr>
        <w:t xml:space="preserve"> — background on hip roof geometry, including polygonal (gazebo/bandstand-style) hip roofs.</w:t>
      </w:r>
    </w:p>
    <w:p>
      <w:pPr>
        <w:pStyle w:val="ListParagraph"/>
        <w:numPr>
          <w:ilvl w:val="0"/>
          <w:numId w:val="2"/>
        </w:numPr>
        <w:spacing w:after="100"/>
      </w:pPr>
      <w:r>
        <w:rPr>
          <w:sz w:val="20"/>
          <w:szCs w:val="20"/>
        </w:rPr>
        <w:t xml:space="preserve">Gazebo — Wikipedia — </w:t>
      </w:r>
      <w:hyperlink w:history="1" r:id="rIdipkcnc5rryvtkiw9djqt0">
        <w:r>
          <w:rPr>
            <w:rStyle w:val="Hyperlink"/>
            <w:color w:val="1a3a5c"/>
            <w:u w:val="single"/>
          </w:rPr>
          <w:t xml:space="preserve">en.wikipedia.org/wiki/Gazebo</w:t>
        </w:r>
      </w:hyperlink>
      <w:r>
        <w:rPr>
          <w:sz w:val="20"/>
          <w:szCs w:val="20"/>
        </w:rPr>
        <w:t xml:space="preserve"> — the small open-air structure type this case's bandstand belongs to, including common octagonal and hexagonal plans.</w:t>
      </w:r>
    </w:p>
    <w:p>
      <w:pPr>
        <w:pStyle w:val="ListParagraph"/>
        <w:numPr>
          <w:ilvl w:val="0"/>
          <w:numId w:val="2"/>
        </w:numPr>
        <w:spacing w:after="160"/>
      </w:pPr>
      <w:r>
        <w:rPr>
          <w:sz w:val="20"/>
          <w:szCs w:val="20"/>
        </w:rPr>
        <w:t xml:space="preserve">Plat — Wikipedia — </w:t>
      </w:r>
      <w:hyperlink w:history="1" r:id="rIdy6vogt4vt4r5xlrbvf1f3">
        <w:r>
          <w:rPr>
            <w:rStyle w:val="Hyperlink"/>
            <w:color w:val="1a3a5c"/>
            <w:u w:val="single"/>
          </w:rPr>
          <w:t xml:space="preserve">en.wikipedia.org/wiki/Plat</w:t>
        </w:r>
      </w:hyperlink>
      <w:r>
        <w:rPr>
          <w:sz w:val="20"/>
          <w:szCs w:val="20"/>
        </w:rPr>
        <w:t xml:space="preserve"> — the kind of map Tomas is working from in this case, and what a property survey actually records.</w:t>
      </w:r>
    </w:p>
    <w:p>
      <w:pPr>
        <w:pStyle w:val="Heading1"/>
        <w:pBdr>
          <w:bottom w:val="single" w:color="c9a227" w:sz="12" w:space="4"/>
        </w:pBdr>
        <w:spacing w:after="160" w:before="300"/>
      </w:pPr>
      <w:r>
        <w:rPr>
          <w:b/>
          <w:bCs/>
          <w:color w:val="1a3a5c"/>
          <w:sz w:val="30"/>
          <w:szCs w:val="30"/>
        </w:rPr>
        <w:t xml:space="preserve">Appendix H — “How To…” Math Questions To Research</w:t>
      </w:r>
    </w:p>
    <w:p>
      <w:pPr>
        <w:pStyle w:val="Heading2"/>
        <w:spacing w:after="120" w:before="240"/>
      </w:pPr>
      <w:r>
        <w:rPr>
          <w:b/>
          <w:bCs/>
          <w:color w:val="122943"/>
          <w:sz w:val="24"/>
          <w:szCs w:val="24"/>
        </w:rPr>
        <w:t xml:space="preserve">Vocabulary terms</w:t>
      </w:r>
    </w:p>
    <w:p>
      <w:pPr>
        <w:pStyle w:val="ListParagraph"/>
        <w:numPr>
          <w:ilvl w:val="0"/>
          <w:numId w:val="2"/>
        </w:numPr>
        <w:spacing w:after="100"/>
      </w:pPr>
      <w:r>
        <w:rPr>
          <w:sz w:val="20"/>
          <w:szCs w:val="20"/>
        </w:rPr>
        <w:t xml:space="preserve">Octagon</w:t>
      </w:r>
    </w:p>
    <w:p>
      <w:pPr>
        <w:pStyle w:val="ListParagraph"/>
        <w:numPr>
          <w:ilvl w:val="0"/>
          <w:numId w:val="2"/>
        </w:numPr>
        <w:spacing w:after="100"/>
      </w:pPr>
      <w:r>
        <w:rPr>
          <w:sz w:val="20"/>
          <w:szCs w:val="20"/>
        </w:rPr>
        <w:t xml:space="preserve">Hexagon</w:t>
      </w:r>
    </w:p>
    <w:p>
      <w:pPr>
        <w:pStyle w:val="ListParagraph"/>
        <w:numPr>
          <w:ilvl w:val="0"/>
          <w:numId w:val="2"/>
        </w:numPr>
        <w:spacing w:after="100"/>
      </w:pPr>
      <w:r>
        <w:rPr>
          <w:sz w:val="20"/>
          <w:szCs w:val="20"/>
        </w:rPr>
        <w:t xml:space="preserve">Regular Polygon</w:t>
      </w:r>
    </w:p>
    <w:p>
      <w:pPr>
        <w:pStyle w:val="ListParagraph"/>
        <w:numPr>
          <w:ilvl w:val="0"/>
          <w:numId w:val="2"/>
        </w:numPr>
        <w:spacing w:after="100"/>
      </w:pPr>
      <w:r>
        <w:rPr>
          <w:sz w:val="20"/>
          <w:szCs w:val="20"/>
        </w:rPr>
        <w:t xml:space="preserve">Irregular Polygon</w:t>
      </w:r>
    </w:p>
    <w:p>
      <w:pPr>
        <w:pStyle w:val="ListParagraph"/>
        <w:numPr>
          <w:ilvl w:val="0"/>
          <w:numId w:val="2"/>
        </w:numPr>
        <w:spacing w:after="100"/>
      </w:pPr>
      <w:r>
        <w:rPr>
          <w:sz w:val="20"/>
          <w:szCs w:val="20"/>
        </w:rPr>
        <w:t xml:space="preserve">Convex</w:t>
      </w:r>
    </w:p>
    <w:p>
      <w:pPr>
        <w:pStyle w:val="ListParagraph"/>
        <w:numPr>
          <w:ilvl w:val="0"/>
          <w:numId w:val="2"/>
        </w:numPr>
        <w:spacing w:after="100"/>
      </w:pPr>
      <w:r>
        <w:rPr>
          <w:sz w:val="20"/>
          <w:szCs w:val="20"/>
        </w:rPr>
        <w:t xml:space="preserve">Quadrilateral</w:t>
      </w:r>
    </w:p>
    <w:p>
      <w:pPr>
        <w:pStyle w:val="ListParagraph"/>
        <w:numPr>
          <w:ilvl w:val="0"/>
          <w:numId w:val="2"/>
        </w:numPr>
        <w:spacing w:after="100"/>
      </w:pPr>
      <w:r>
        <w:rPr>
          <w:sz w:val="20"/>
          <w:szCs w:val="20"/>
        </w:rPr>
        <w:t xml:space="preserve">Trapezoid</w:t>
      </w:r>
    </w:p>
    <w:p>
      <w:pPr>
        <w:pStyle w:val="ListParagraph"/>
        <w:numPr>
          <w:ilvl w:val="0"/>
          <w:numId w:val="2"/>
        </w:numPr>
        <w:spacing w:after="100"/>
      </w:pPr>
      <w:r>
        <w:rPr>
          <w:sz w:val="20"/>
          <w:szCs w:val="20"/>
        </w:rPr>
        <w:t xml:space="preserve">Sum of the interior angles of a polygon theorem</w:t>
      </w:r>
    </w:p>
    <w:p>
      <w:pPr>
        <w:pStyle w:val="ListParagraph"/>
        <w:numPr>
          <w:ilvl w:val="0"/>
          <w:numId w:val="2"/>
        </w:numPr>
        <w:spacing w:after="100"/>
      </w:pPr>
      <w:r>
        <w:rPr>
          <w:sz w:val="20"/>
          <w:szCs w:val="20"/>
        </w:rPr>
        <w:t xml:space="preserve">Pythagorean Theorem</w:t>
      </w:r>
    </w:p>
    <w:p>
      <w:pPr>
        <w:pStyle w:val="Heading2"/>
        <w:spacing w:after="120" w:before="240"/>
      </w:pPr>
      <w:r>
        <w:rPr>
          <w:b/>
          <w:bCs/>
          <w:color w:val="122943"/>
          <w:sz w:val="24"/>
          <w:szCs w:val="24"/>
        </w:rPr>
        <w:t xml:space="preserve">“How to…” questions</w:t>
      </w:r>
    </w:p>
    <w:p>
      <w:pPr>
        <w:pStyle w:val="ListParagraph"/>
        <w:numPr>
          <w:ilvl w:val="0"/>
          <w:numId w:val="2"/>
        </w:numPr>
        <w:spacing w:after="100"/>
      </w:pPr>
      <w:r>
        <w:rPr>
          <w:sz w:val="20"/>
          <w:szCs w:val="20"/>
        </w:rPr>
        <w:t xml:space="preserve">How to find the measure of an interior angle of a polygon given the other angles</w:t>
      </w:r>
    </w:p>
    <w:p>
      <w:pPr>
        <w:pStyle w:val="ListParagraph"/>
        <w:numPr>
          <w:ilvl w:val="0"/>
          <w:numId w:val="2"/>
        </w:numPr>
        <w:spacing w:after="100"/>
      </w:pPr>
      <w:r>
        <w:rPr>
          <w:sz w:val="20"/>
          <w:szCs w:val="20"/>
        </w:rPr>
        <w:t xml:space="preserve">How to multiply decimal numbers</w:t>
      </w:r>
    </w:p>
    <w:p>
      <w:pPr>
        <w:pStyle w:val="ListParagraph"/>
        <w:numPr>
          <w:ilvl w:val="0"/>
          <w:numId w:val="2"/>
        </w:numPr>
        <w:spacing w:after="100"/>
      </w:pPr>
      <w:r>
        <w:rPr>
          <w:sz w:val="20"/>
          <w:szCs w:val="20"/>
        </w:rPr>
        <w:t xml:space="preserve">How to divide decimal numbers</w:t>
      </w:r>
    </w:p>
    <w:p>
      <w:pPr>
        <w:pStyle w:val="ListParagraph"/>
        <w:numPr>
          <w:ilvl w:val="0"/>
          <w:numId w:val="2"/>
        </w:numPr>
        <w:spacing w:after="100"/>
      </w:pPr>
      <w:r>
        <w:rPr>
          <w:sz w:val="20"/>
          <w:szCs w:val="20"/>
        </w:rPr>
        <w:t xml:space="preserve">How to find the percent of a number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1vz-nqmydqe8dzcac7o" Type="http://schemas.openxmlformats.org/officeDocument/2006/relationships/hyperlink" Target="https://www.nahb.org/news-and-economics/housing-economics/national-statistics/framing-lumber-prices" TargetMode="External"/><Relationship Id="rIdn2_bxkpcigyn7qcrtnd7u" Type="http://schemas.openxmlformats.org/officeDocument/2006/relationships/hyperlink" Target="https://www.bls.gov/ooh/construction-and-extraction/carpenters.htm" TargetMode="External"/><Relationship Id="rId_gsdbzdoesafarzwxvltb" Type="http://schemas.openxmlformats.org/officeDocument/2006/relationships/hyperlink" Target="https://blog.eb3construction.com/construction/project-management/framing-costs-per-square-foot/" TargetMode="External"/><Relationship Id="rIdodlnjlqu7vrgvw0iflot1" Type="http://schemas.openxmlformats.org/officeDocument/2006/relationships/hyperlink" Target="https://lawnlove.com/blog/land-grading-cost/" TargetMode="External"/><Relationship Id="rId_z1rrumgp4zlzlyqia5pg" Type="http://schemas.openxmlformats.org/officeDocument/2006/relationships/hyperlink" Target="https://en.wikipedia.org/wiki/Regular_polygon" TargetMode="External"/><Relationship Id="rId8vcjlywrhqr-sym0pncks" Type="http://schemas.openxmlformats.org/officeDocument/2006/relationships/hyperlink" Target="https://en.wikipedia.org/wiki/Internal_angle" TargetMode="External"/><Relationship Id="rIdocbk8wxbr2twpervhoeqp" Type="http://schemas.openxmlformats.org/officeDocument/2006/relationships/hyperlink" Target="https://en.wikipedia.org/wiki/Hip_roof" TargetMode="External"/><Relationship Id="rIdipkcnc5rryvtkiw9djqt0" Type="http://schemas.openxmlformats.org/officeDocument/2006/relationships/hyperlink" Target="https://en.wikipedia.org/wiki/Gazebo" TargetMode="External"/><Relationship Id="rIdy6vogt4vt4r5xlrbvf1f3" Type="http://schemas.openxmlformats.org/officeDocument/2006/relationships/hyperlink" Target="https://en.wikipedia.org/wiki/Pla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2026-09-06T12:13:20.747Z</dcterms:created>
  <dcterms:modified xsi:type="dcterms:W3CDTF">2026-09-06T12:13:20.751Z</dcterms:modified>
</cp:coreProperties>
</file>

<file path=docProps/custom.xml><?xml version="1.0" encoding="utf-8"?>
<Properties xmlns="http://schemas.openxmlformats.org/officeDocument/2006/custom-properties" xmlns:vt="http://schemas.openxmlformats.org/officeDocument/2006/docPropsVTypes"/>
</file>