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32"/>
          <w:szCs w:val="32"/>
        </w:rPr>
        <w:t xml:space="preserve">Case Study: The Custom Die</w:t>
      </w:r>
    </w:p>
    <w:p>
      <w:r>
        <w:rPr>
          <w:i/>
          <w:iCs/>
          <w:color w:val="5b6472"/>
          <w:sz w:val="20"/>
          <w:szCs w:val="20"/>
        </w:rPr>
        <w:t xml:space="preserve">MS | Math | Case Study | 2026-27 | Heroes Academy</w:t>
      </w:r>
    </w:p>
    <w:p/>
    <w:p>
      <w:pPr>
        <w:pStyle w:val="Heading1"/>
      </w:pPr>
      <w:r>
        <w:t xml:space="preserve">Overview</w:t>
      </w:r>
    </w:p>
    <w:p>
      <w:r>
        <w:t xml:space="preserve">Marcus Feld has forty minutes before the die shop's quote expires.</w:t>
      </w:r>
    </w:p>
    <w:p>
      <w:r>
        <w:t xml:space="preserve">He's standing at the cutting table in the sample room with two mockup boxes side by side, both holding the same triangular pastry slice the internet has decided it can't stop watching someone eat. The plain one is a plain box — square corners, flaps that fold shut in ten seconds, and a wedge of dead air above the slice that Marcus can feel every time he lifts the lid. The other box is nothing but flat cardboard right now: a die-cut sheet on the table next to it, cut and scored into a shape that folds up snug around the slice's actual triangular cross-section, corner to corner, no gap.</w:t>
      </w:r>
    </w:p>
    <w:p>
      <w:r>
        <w:t xml:space="preserve">Six months ago this bakery shipped forty boxes a week and Marcus taped them shut himself. Then one video crossed a million views and the order queue hasn't stopped since. The fulfillment center's invoice is sitting on the desk with a line item circled in yellow marker — they bill by the cubic inch now, not by the box — and packaging has quietly become the second-biggest cost on the sheet, right behind flour and butter.</w:t>
      </w:r>
    </w:p>
    <w:p>
      <w:r>
        <w:t xml:space="preserve">His phone buzzes face-down on the cutting table. The die shop, confirming: whichever shape he approves tonight is the one they start cutting steel for tomorrow morning, and there's no second quote before the next production run has to ship.</w:t>
      </w:r>
    </w:p>
    <w:p>
      <w:r>
        <w:t xml:space="preserve">Marcus picks up the plain box, then the flat die-cut sheet, turning each one over in his hands.</w:t>
      </w:r>
    </w:p>
    <w:p>
      <w:pPr>
        <w:pStyle w:val="Heading1"/>
      </w:pPr>
      <w:r>
        <w:t xml:space="preserve">Background</w:t>
      </w:r>
    </w:p>
    <w:p>
      <w:r>
        <w:t xml:space="preserve">Marcus Feld is the packaging engineer at a bakery that grew, almost overnight, from a handful of local weekly orders to a shipping operation moving thousands of boxes a week to addresses it had never shipped to before. He is the person responsible for choosing what every product ships in — which means every box he approves has to survive a conveyor belt (the automated belts and chutes a warehouse uses to sort and move packages — real equipment that jostles, drops, and squeezes boxes from every side, not a gentle ride), hold its shape in transit, and cost the company as little as possible per order, because at this new volume a few cents saved or lost on a single box repeats itself thousands of times a week.</w:t>
      </w:r>
    </w:p>
    <w:p>
      <w:r>
        <w:t xml:space="preserve">The product driving this decision is a triangular pastry slice the bakery calls The Wedge — a baked good with a right-triangular cross-section, not a rectangular one, that the fulfillment center's (a company Marcus's bakery pays to warehouse, pack, and ship its orders instead of doing it in-house) new billing policy makes expensive to ship carelessly: the invoice is no longer priced per box, it is priced by the cubic inch the box actually occupies on the truck — a practice sometimes called dimensional-weight billing, charging by the space a package takes up rather than its weight (SEE APPENDIX G) — whether or not that space holds any pastry (SEE APPENDIX B for The Wedge's exact dimensions).</w:t>
      </w:r>
    </w:p>
    <w:p>
      <w:r>
        <w:t xml:space="preserve">Before settling on a box shape, Marcus's packaging team spent an afternoon at the whiteboard sketching every container shape they could think of for The Wedge, from shapes borrowed off other suppliers' catalogs to shapes somebody just liked the look of (SEE APPENDIX A). Most of those sketches don't survive five minutes of scrutiny once you actually look at how each shape is built — but the exercise narrowed the real field down to exactly two serious candidates, and those are the two Marcus has mockups of on the table tonight.</w:t>
      </w:r>
    </w:p>
    <w:p>
      <w:r>
        <w:rPr>
          <w:b/>
          <w:bCs/>
        </w:rPr>
        <w:t xml:space="preserve">Option A — The Standard Box</w:t>
      </w:r>
      <w:r>
        <w:t xml:space="preserve"> is a simple rectangular prism, sized to the outside dimensions of The Wedge with a small clearance (packaging term for the deliberate small gap left between a product and the inside of its box, so the product slides in and out without the box being cut so tight it jams or tears) so the slice slides in and out cleanly (SEE APPENDIX C). Every face is a flat rectangle, every fold is a straight line, and the die (a custom-built, hardened-steel cutting and creasing tool — see below) that cuts its net (a 3-D shape's flat, unfolded pattern: every face laid out flat and connected, in the exact layout you would cut from one sheet before folding it up into the finished box) out of a sheet of cardboard is about as simple as die-cutting gets — cheap to make, fast to approve. The tradeoff is built into the shape itself: a triangular slice does not fill a rectangular box, so every Standard Box ships with a wedge of empty air above the pastry, air the fulfillment center bills for exactly as if it were more pastry.</w:t>
      </w:r>
    </w:p>
    <w:p>
      <w:r>
        <w:rPr>
          <w:b/>
          <w:bCs/>
        </w:rPr>
        <w:t xml:space="preserve">Option B — The Fitted Wedge</w:t>
      </w:r>
      <w:r>
        <w:t xml:space="preserve"> is a triangular-prism box, its interior cross-section built to match The Wedge's own triangular shape with the same small clearance (SEE APPENDIX C). It wastes almost none of the space it ships. But its net is not six simple rectangles — it is two triangles and three rectangles of different widths, meeting at angles a straight-rule die does not cut as cheaply, and Marcus's die-shop (the outside vendor that owns the steel-cutting equipment and builds a custom die — the physical steel tool that presses through a flat cardboard sheet in one stroke to cut and score it into a box's exact net — to a customer's specifications) quote reflects that (SEE APPENDIX D and APPENDIX E).</w:t>
      </w:r>
    </w:p>
    <w:p>
      <w:r>
        <w:t xml:space="preserve">Both options use the same single-wall corrugated cardboard stock (cardboard built from one wavy layer of paper, called the medium, glued between two flat liner sheets — plain, smooth sheets of paper facing outward on either side, giving the board its flat outer surfaces — “single-wall” means just one such wavy layer between two liners, the lightest common corrugated construction), priced by the square inch (SEE APPENDIX D), so material cost is driven entirely by how much flat cardboard each box's net actually uses — not by how much air or pastry sits inside the folded box once it's assembled. The one-time cost of cutting steel for either die — a cost sometimes called tooling (the setup investment a factory or die shop makes in a custom tool before it can produce a single unit) — only gets paid once, then spreads (this spreading is called amortizing a cost) across every box the bakery orders from that die before the next re-tooling decision — the next point where the team could choose to invest in cutting a different die — (SEE APPENDIX E). All figures in this case are sourced in APPENDIX F, or stated as an explicit modeling assumption in APPENDIX E where no public figure exists for a decision this specific to one company. The vocabulary and the “how to…” skills this case will ask of you are listed in APPENDIX H — that is where Challenge 1 sends you. (SEE APPENDIX G for further reading on packaging geometry and die-cutting.)</w:t>
      </w:r>
    </w:p>
    <w:p>
      <w:pPr>
        <w:pStyle w:val="Heading1"/>
      </w:pPr>
      <w:r>
        <w:t xml:space="preserve">Dilemma</w:t>
      </w:r>
    </w:p>
    <w:p>
      <w:r>
        <w:t xml:space="preserve">You are Marcus Feld.</w:t>
      </w:r>
    </w:p>
    <w:p>
      <w:r>
        <w:t xml:space="preserve">Do you:</w:t>
      </w:r>
    </w:p>
    <w:p>
      <w:r>
        <w:t xml:space="preserve">A.) Approve The Standard Box — a simple rectangular-prism box, cheap die, wasted space around every slice OR</w:t>
      </w:r>
    </w:p>
    <w:p>
      <w:r>
        <w:t xml:space="preserve">B.) Approve The Fitted Wedge — a triangular-prism box fitted to the slice’s real shape, pricier die, almost no wasted space</w:t>
      </w:r>
    </w:p>
    <w:p>
      <w:pPr>
        <w:pStyle w:val="Heading1"/>
      </w:pPr>
      <w:r>
        <w:t xml:space="preserve">Challenges</w:t>
      </w:r>
    </w:p>
    <w:p>
      <w:r>
        <w:t xml:space="preserve">1.) Research and find an online resource that answers one of the "how to…" questions from the case study launch. Post a link to the resource as your submission.</w:t>
      </w:r>
    </w:p>
    <w:p>
      <w:r>
        <w:t xml:space="preserve">2.) Post 250 or more "excellent" words pitching a firm stance to your audience on which you would choose and why. Your pitch must include:</w:t>
      </w:r>
    </w:p>
    <w:p>
      <w:pPr>
        <w:pStyle w:val="ListParagraph"/>
        <w:numPr>
          <w:ilvl w:val="0"/>
          <w:numId w:val="2"/>
        </w:numPr>
      </w:pPr>
      <w:r>
        <w:t xml:space="preserve">Use of the "how to…" resource you researched in Challenge 1.</w:t>
      </w:r>
    </w:p>
    <w:p>
      <w:pPr>
        <w:pStyle w:val="ListParagraph"/>
        <w:numPr>
          <w:ilvl w:val="0"/>
          <w:numId w:val="2"/>
        </w:numPr>
      </w:pPr>
      <w:r>
        <w:t xml:space="preserve">At least one original visual display of the data.</w:t>
      </w:r>
    </w:p>
    <w:p>
      <w:r>
        <w:t xml:space="preserve">3.) Your pitch must include:</w:t>
      </w:r>
    </w:p>
    <w:p>
      <w:pPr>
        <w:pStyle w:val="ListParagraph"/>
        <w:numPr>
          <w:ilvl w:val="0"/>
          <w:numId w:val="2"/>
        </w:numPr>
      </w:pPr>
      <w:r>
        <w:t xml:space="preserve">D1. A shape audit of all six candidates the packaging team sketched at the whiteboard (SEE APPENDIX A): correctly name each 3-D shape from its description, and for each one state in one sentence why it does or does not make sense as a box for The Wedge’s triangular cross-section.</w:t>
      </w:r>
    </w:p>
    <w:p>
      <w:pPr>
        <w:pStyle w:val="ListParagraph"/>
        <w:numPr>
          <w:ilvl w:val="0"/>
          <w:numId w:val="2"/>
        </w:numPr>
      </w:pPr>
      <w:r>
        <w:t xml:space="preserve">D2. A dimensioned net of Option A and a dimensioned net of Option B, built to scale, with every face labeled and the Length, Width, and Depth of each box marked directly on the net.</w:t>
      </w:r>
    </w:p>
    <w:p>
      <w:pPr>
        <w:pStyle w:val="ListParagraph"/>
        <w:numPr>
          <w:ilvl w:val="0"/>
          <w:numId w:val="2"/>
        </w:numPr>
      </w:pPr>
      <w:r>
        <w:t xml:space="preserve">D3. A net-area material table: using the labeled nets from D2 — not the boxes’ volumes — compute the total square inches of cardboard each option’s net actually uses, showing your arithmetic.</w:t>
      </w:r>
    </w:p>
    <w:p>
      <w:pPr>
        <w:pStyle w:val="ListParagraph"/>
        <w:numPr>
          <w:ilvl w:val="0"/>
          <w:numId w:val="2"/>
        </w:numPr>
      </w:pPr>
      <w:r>
        <w:t xml:space="preserve">D4. A wasted-space table: compute the volume of The Wedge itself and the interior volume of each box option, then compute how many cubic inches (and what percent) of each box’s interior is wasted space.</w:t>
      </w:r>
    </w:p>
    <w:p>
      <w:pPr>
        <w:pStyle w:val="ListParagraph"/>
        <w:numPr>
          <w:ilvl w:val="0"/>
          <w:numId w:val="2"/>
        </w:numPr>
      </w:pPr>
      <w:r>
        <w:t xml:space="preserve">D5. A tooling-amortized cost comparison: combine D3’s net area with each option’s one-time die cost spread across the expected order volume before the next re-tooling decision (SEE APPENDIX E), then express each option’s total as square inches of cardboard per cubic inch of Wedge actually shipped. State which option wins on that number and by how much.</w:t>
      </w:r>
    </w:p>
    <w:p>
      <w:r>
        <w:t xml:space="preserve">4.) An appendix showing evidence of your original thinking, work, calculations and processes you used to complete the challenges (pictures, screenshots, notes, etc.). Your work in the appendix does not count toward your word count.</w:t>
      </w:r>
    </w:p>
    <w:p>
      <w:r>
        <w:t xml:space="preserve">5.) Participate twice or more in the Case Study discussion. *If you are absent the day of a discussion post 500 "excellent" words on the questions above.</w:t>
      </w:r>
    </w:p>
    <w:p>
      <w:pPr>
        <w:pStyle w:val="Heading1"/>
      </w:pPr>
      <w:r>
        <w:t xml:space="preserve">Appendix A — Packaging Team Whiteboard Log</w:t>
      </w:r>
    </w:p>
    <w:p>
      <w:r>
        <w:t xml:space="preserve">Six shapes came off the whiteboard before the team narrowed the field to Options A and B. Nobody labeled these with their formal names on the whiteboard — just descriptions. Naming them correctly is part of D1.</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c>
          <w:tcPr>
            <w:tcW w:type="dxa" w:w="2000"/>
            <w:shd w:fill="1a3a5c" w:color="auto" w:val="clear"/>
          </w:tcPr>
          <w:p>
            <w:r>
              <w:rPr>
                <w:b/>
                <w:bCs/>
                <w:color w:val="FFFFFF"/>
              </w:rPr>
              <w:t xml:space="preserve">Candidate</w:t>
            </w:r>
          </w:p>
        </w:tc>
        <w:tc>
          <w:tcPr>
            <w:tcW w:type="dxa" w:w="7000"/>
            <w:shd w:fill="1a3a5c" w:color="auto" w:val="clear"/>
          </w:tcPr>
          <w:p>
            <w:r>
              <w:rPr>
                <w:b/>
                <w:bCs/>
                <w:color w:val="FFFFFF"/>
              </w:rPr>
              <w:t xml:space="preserve">Description as sketched</w:t>
            </w:r>
          </w:p>
        </w:tc>
      </w:tr>
      <w:tr>
        <w:tc>
          <w:tcPr>
            <w:tcW w:type="dxa" w:w="2000"/>
          </w:tcPr>
          <w:p>
            <w:r>
              <w:rPr>
                <w:b w:val="false"/>
                <w:bCs w:val="false"/>
              </w:rPr>
              <w:t xml:space="preserve">Candidate 1</w:t>
            </w:r>
          </w:p>
        </w:tc>
        <w:tc>
          <w:tcPr>
            <w:tcW w:type="dxa" w:w="7000"/>
          </w:tcPr>
          <w:p>
            <w:r>
              <w:rPr>
                <w:b w:val="false"/>
                <w:bCs w:val="false"/>
              </w:rPr>
              <w:t xml:space="preserve">One curved lateral surface running between two flat, circular, congruent, parallel ends. No edges where the curved surface meets flat surface at either flat face’s rim, and no vertices anywhere on the shape.</w:t>
            </w:r>
          </w:p>
        </w:tc>
      </w:tr>
      <w:tr>
        <w:tc>
          <w:tcPr>
            <w:tcW w:type="dxa" w:w="2000"/>
          </w:tcPr>
          <w:p>
            <w:r>
              <w:rPr>
                <w:b w:val="false"/>
                <w:bCs w:val="false"/>
              </w:rPr>
              <w:t xml:space="preserve">Candidate 2</w:t>
            </w:r>
          </w:p>
        </w:tc>
        <w:tc>
          <w:tcPr>
            <w:tcW w:type="dxa" w:w="7000"/>
          </w:tcPr>
          <w:p>
            <w:r>
              <w:rPr>
                <w:b w:val="false"/>
                <w:bCs w:val="false"/>
              </w:rPr>
              <w:t xml:space="preserve">One flat circular base and one continuous curved surface that tapers up from the base’s edge to a single point directly above the base’s center. One edge (the base’s circular rim), one vertex (the point at the top).</w:t>
            </w:r>
          </w:p>
        </w:tc>
      </w:tr>
      <w:tr>
        <w:tc>
          <w:tcPr>
            <w:tcW w:type="dxa" w:w="2000"/>
          </w:tcPr>
          <w:p>
            <w:r>
              <w:rPr>
                <w:b w:val="false"/>
                <w:bCs w:val="false"/>
              </w:rPr>
              <w:t xml:space="preserve">Candidate 3</w:t>
            </w:r>
          </w:p>
        </w:tc>
        <w:tc>
          <w:tcPr>
            <w:tcW w:type="dxa" w:w="7000"/>
          </w:tcPr>
          <w:p>
            <w:r>
              <w:rPr>
                <w:b w:val="false"/>
                <w:bCs w:val="false"/>
              </w:rPr>
              <w:t xml:space="preserve">Six flat rectangular faces. Every pair of opposite faces is congruent and parallel to each other. Twelve edges, eight vertices.</w:t>
            </w:r>
          </w:p>
        </w:tc>
      </w:tr>
      <w:tr>
        <w:tc>
          <w:tcPr>
            <w:tcW w:type="dxa" w:w="2000"/>
          </w:tcPr>
          <w:p>
            <w:r>
              <w:rPr>
                <w:b w:val="false"/>
                <w:bCs w:val="false"/>
              </w:rPr>
              <w:t xml:space="preserve">Candidate 4</w:t>
            </w:r>
          </w:p>
        </w:tc>
        <w:tc>
          <w:tcPr>
            <w:tcW w:type="dxa" w:w="7000"/>
          </w:tcPr>
          <w:p>
            <w:r>
              <w:rPr>
                <w:b w:val="false"/>
                <w:bCs w:val="false"/>
              </w:rPr>
              <w:t xml:space="preserve">One flat square base and four flat triangular faces, each one sharing an edge with the base and meeting all the others at a single point directly above the base. Eight edges, five vertices.</w:t>
            </w:r>
          </w:p>
        </w:tc>
      </w:tr>
      <w:tr>
        <w:tc>
          <w:tcPr>
            <w:tcW w:type="dxa" w:w="2000"/>
          </w:tcPr>
          <w:p>
            <w:r>
              <w:rPr>
                <w:b w:val="false"/>
                <w:bCs w:val="false"/>
              </w:rPr>
              <w:t xml:space="preserve">Candidate 5</w:t>
            </w:r>
          </w:p>
        </w:tc>
        <w:tc>
          <w:tcPr>
            <w:tcW w:type="dxa" w:w="7000"/>
          </w:tcPr>
          <w:p>
            <w:r>
              <w:rPr>
                <w:b w:val="false"/>
                <w:bCs w:val="false"/>
              </w:rPr>
              <w:t xml:space="preserve">A single continuous curved surface with no flat faces anywhere, no edges, and no vertices.</w:t>
            </w:r>
          </w:p>
        </w:tc>
      </w:tr>
      <w:tr>
        <w:tc>
          <w:tcPr>
            <w:tcW w:type="dxa" w:w="2000"/>
          </w:tcPr>
          <w:p>
            <w:r>
              <w:rPr>
                <w:b w:val="false"/>
                <w:bCs w:val="false"/>
              </w:rPr>
              <w:t xml:space="preserve">Candidate 6</w:t>
            </w:r>
          </w:p>
        </w:tc>
        <w:tc>
          <w:tcPr>
            <w:tcW w:type="dxa" w:w="7000"/>
          </w:tcPr>
          <w:p>
            <w:r>
              <w:rPr>
                <w:b w:val="false"/>
                <w:bCs w:val="false"/>
              </w:rPr>
              <w:t xml:space="preserve">Two flat triangular faces, congruent and parallel to each other, connected by three flat rectangular faces. Nine edges, six vertices.</w:t>
            </w:r>
          </w:p>
        </w:tc>
      </w:tr>
    </w:tbl>
    <w:p>
      <w:r>
        <w:t xml:space="preserve">The team rejected four of these within minutes once someone actually checked how each shape’s interior space lines up against a triangular cross-section — but the case does not tell you which four, or why. That’s D1’s job.</w:t>
      </w:r>
    </w:p>
    <w:p>
      <w:pPr>
        <w:pStyle w:val="Heading1"/>
      </w:pPr>
      <w:r>
        <w:t xml:space="preserve">Appendix B — The Wedge: Product Spec Sheet</w:t>
      </w:r>
    </w:p>
    <w:p>
      <w:r>
        <w:t xml:space="preserve">The Wedge is the bakery's own product, not a licensed or published design — built to a real, fixed triangular cross-section the packaging team measured directly off the baking mold.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1a3a5c" w:color="auto" w:val="clear"/>
          </w:tcPr>
          <w:p>
            <w:r>
              <w:rPr>
                <w:b/>
                <w:bCs/>
                <w:color w:val="FFFFFF"/>
              </w:rPr>
              <w:t xml:space="preserve"/>
            </w:r>
          </w:p>
        </w:tc>
        <w:tc>
          <w:tcPr>
            <w:tcW w:type="dxa" w:w="4500"/>
            <w:shd w:fill="1a3a5c" w:color="auto" w:val="clear"/>
          </w:tcPr>
          <w:p>
            <w:r>
              <w:rPr>
                <w:b/>
                <w:bCs/>
                <w:color w:val="FFFFFF"/>
              </w:rPr>
              <w:t xml:space="preserve">Value</w:t>
            </w:r>
          </w:p>
        </w:tc>
      </w:tr>
      <w:tr>
        <w:tc>
          <w:tcPr>
            <w:tcW w:type="dxa" w:w="4500"/>
          </w:tcPr>
          <w:p>
            <w:r>
              <w:rPr>
                <w:b w:val="false"/>
                <w:bCs w:val="false"/>
              </w:rPr>
              <w:t xml:space="preserve">Cross-section shape</w:t>
            </w:r>
          </w:p>
        </w:tc>
        <w:tc>
          <w:tcPr>
            <w:tcW w:type="dxa" w:w="4500"/>
          </w:tcPr>
          <w:p>
            <w:r>
              <w:rPr>
                <w:b w:val="false"/>
                <w:bCs w:val="false"/>
              </w:rPr>
              <w:t xml:space="preserve">Right triangle</w:t>
            </w:r>
          </w:p>
        </w:tc>
      </w:tr>
      <w:tr>
        <w:tc>
          <w:tcPr>
            <w:tcW w:type="dxa" w:w="4500"/>
          </w:tcPr>
          <w:p>
            <w:r>
              <w:rPr>
                <w:b w:val="false"/>
                <w:bCs w:val="false"/>
              </w:rPr>
              <w:t xml:space="preserve">Cross-section leg 1 (base)</w:t>
            </w:r>
          </w:p>
        </w:tc>
        <w:tc>
          <w:tcPr>
            <w:tcW w:type="dxa" w:w="4500"/>
          </w:tcPr>
          <w:p>
            <w:r>
              <w:rPr>
                <w:b w:val="false"/>
                <w:bCs w:val="false"/>
              </w:rPr>
              <w:t xml:space="preserve">3.00 in</w:t>
            </w:r>
          </w:p>
        </w:tc>
      </w:tr>
      <w:tr>
        <w:tc>
          <w:tcPr>
            <w:tcW w:type="dxa" w:w="4500"/>
          </w:tcPr>
          <w:p>
            <w:r>
              <w:rPr>
                <w:b w:val="false"/>
                <w:bCs w:val="false"/>
              </w:rPr>
              <w:t xml:space="preserve">Cross-section leg 2 (height)</w:t>
            </w:r>
          </w:p>
        </w:tc>
        <w:tc>
          <w:tcPr>
            <w:tcW w:type="dxa" w:w="4500"/>
          </w:tcPr>
          <w:p>
            <w:r>
              <w:rPr>
                <w:b w:val="false"/>
                <w:bCs w:val="false"/>
              </w:rPr>
              <w:t xml:space="preserve">3.00 in</w:t>
            </w:r>
          </w:p>
        </w:tc>
      </w:tr>
      <w:tr>
        <w:tc>
          <w:tcPr>
            <w:tcW w:type="dxa" w:w="4500"/>
          </w:tcPr>
          <w:p>
            <w:r>
              <w:rPr>
                <w:b w:val="false"/>
                <w:bCs w:val="false"/>
              </w:rPr>
              <w:t xml:space="preserve">Length (extrusion axis)</w:t>
            </w:r>
          </w:p>
        </w:tc>
        <w:tc>
          <w:tcPr>
            <w:tcW w:type="dxa" w:w="4500"/>
          </w:tcPr>
          <w:p>
            <w:r>
              <w:rPr>
                <w:b w:val="false"/>
                <w:bCs w:val="false"/>
              </w:rPr>
              <w:t xml:space="preserve">6.00 in</w:t>
            </w:r>
          </w:p>
        </w:tc>
      </w:tr>
      <w:tr>
        <w:tc>
          <w:tcPr>
            <w:tcW w:type="dxa" w:w="4500"/>
          </w:tcPr>
          <w:p>
            <w:r>
              <w:rPr>
                <w:b w:val="false"/>
                <w:bCs w:val="false"/>
              </w:rPr>
              <w:t xml:space="preserve">Cross-section shape, box terms</w:t>
            </w:r>
          </w:p>
        </w:tc>
        <w:tc>
          <w:tcPr>
            <w:tcW w:type="dxa" w:w="4500"/>
          </w:tcPr>
          <w:p>
            <w:r>
              <w:rPr>
                <w:b w:val="false"/>
                <w:bCs w:val="false"/>
              </w:rPr>
              <w:t xml:space="preserve">The Wedge itself is a triangular prism</w:t>
            </w:r>
          </w:p>
        </w:tc>
      </w:tr>
    </w:tbl>
    <w:p>
      <w:pPr>
        <w:pStyle w:val="Heading1"/>
      </w:pPr>
      <w:r>
        <w:t xml:space="preserve">Appendix C — Box Options: Spec Sheet</w:t>
      </w:r>
    </w:p>
    <w:p>
      <w:r>
        <w:t xml:space="preserve">Both options add the same 0.25 in clearance to every one of The Wedge's three dimensions — the packaging team's standard clearance allowance for any hand-packed item at this bakery, applied identically to both options so the comparison isn't skewed by one box being packed tighter than the other.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1a3a5c" w:color="auto" w:val="clear"/>
          </w:tcPr>
          <w:p>
            <w:r>
              <w:rPr>
                <w:b/>
                <w:bCs/>
                <w:color w:val="FFFFFF"/>
              </w:rPr>
              <w:t xml:space="preserve"/>
            </w:r>
          </w:p>
        </w:tc>
        <w:tc>
          <w:tcPr>
            <w:tcW w:type="dxa" w:w="3000"/>
            <w:shd w:fill="1a3a5c" w:color="auto" w:val="clear"/>
          </w:tcPr>
          <w:p>
            <w:r>
              <w:rPr>
                <w:b/>
                <w:bCs/>
                <w:color w:val="FFFFFF"/>
              </w:rPr>
              <w:t xml:space="preserve">Option A — The Standard Box</w:t>
            </w:r>
          </w:p>
        </w:tc>
        <w:tc>
          <w:tcPr>
            <w:tcW w:type="dxa" w:w="3000"/>
            <w:shd w:fill="1a3a5c" w:color="auto" w:val="clear"/>
          </w:tcPr>
          <w:p>
            <w:r>
              <w:rPr>
                <w:b/>
                <w:bCs/>
                <w:color w:val="FFFFFF"/>
              </w:rPr>
              <w:t xml:space="preserve">Option B — The Fitted Wedge</w:t>
            </w:r>
          </w:p>
        </w:tc>
      </w:tr>
      <w:tr>
        <w:tc>
          <w:tcPr>
            <w:tcW w:type="dxa" w:w="3000"/>
          </w:tcPr>
          <w:p>
            <w:r>
              <w:rPr>
                <w:b w:val="false"/>
                <w:bCs w:val="false"/>
              </w:rPr>
              <w:t xml:space="preserve">Shape</w:t>
            </w:r>
          </w:p>
        </w:tc>
        <w:tc>
          <w:tcPr>
            <w:tcW w:type="dxa" w:w="3000"/>
          </w:tcPr>
          <w:p>
            <w:r>
              <w:rPr>
                <w:b w:val="false"/>
                <w:bCs w:val="false"/>
              </w:rPr>
              <w:t xml:space="preserve">Rectangular prism</w:t>
            </w:r>
          </w:p>
        </w:tc>
        <w:tc>
          <w:tcPr>
            <w:tcW w:type="dxa" w:w="3000"/>
          </w:tcPr>
          <w:p>
            <w:r>
              <w:rPr>
                <w:b w:val="false"/>
                <w:bCs w:val="false"/>
              </w:rPr>
              <w:t xml:space="preserve">Triangular prism (right-triangle cross-section)</w:t>
            </w:r>
          </w:p>
        </w:tc>
      </w:tr>
      <w:tr>
        <w:tc>
          <w:tcPr>
            <w:tcW w:type="dxa" w:w="3000"/>
          </w:tcPr>
          <w:p>
            <w:r>
              <w:rPr>
                <w:b w:val="false"/>
                <w:bCs w:val="false"/>
              </w:rPr>
              <w:t xml:space="preserve">Interior Length</w:t>
            </w:r>
          </w:p>
        </w:tc>
        <w:tc>
          <w:tcPr>
            <w:tcW w:type="dxa" w:w="3000"/>
          </w:tcPr>
          <w:p>
            <w:r>
              <w:rPr>
                <w:b w:val="false"/>
                <w:bCs w:val="false"/>
              </w:rPr>
              <w:t xml:space="preserve">6.25 in</w:t>
            </w:r>
          </w:p>
        </w:tc>
        <w:tc>
          <w:tcPr>
            <w:tcW w:type="dxa" w:w="3000"/>
          </w:tcPr>
          <w:p>
            <w:r>
              <w:rPr>
                <w:b w:val="false"/>
                <w:bCs w:val="false"/>
              </w:rPr>
              <w:t xml:space="preserve">6.25 in</w:t>
            </w:r>
          </w:p>
        </w:tc>
      </w:tr>
      <w:tr>
        <w:tc>
          <w:tcPr>
            <w:tcW w:type="dxa" w:w="3000"/>
          </w:tcPr>
          <w:p>
            <w:r>
              <w:rPr>
                <w:b w:val="false"/>
                <w:bCs w:val="false"/>
              </w:rPr>
              <w:t xml:space="preserve">Interior Width</w:t>
            </w:r>
          </w:p>
        </w:tc>
        <w:tc>
          <w:tcPr>
            <w:tcW w:type="dxa" w:w="3000"/>
          </w:tcPr>
          <w:p>
            <w:r>
              <w:rPr>
                <w:b w:val="false"/>
                <w:bCs w:val="false"/>
              </w:rPr>
              <w:t xml:space="preserve">3.25 in</w:t>
            </w:r>
          </w:p>
        </w:tc>
        <w:tc>
          <w:tcPr>
            <w:tcW w:type="dxa" w:w="3000"/>
          </w:tcPr>
          <w:p>
            <w:r>
              <w:rPr>
                <w:b w:val="false"/>
                <w:bCs w:val="false"/>
              </w:rPr>
              <w:t xml:space="preserve">3.25 in (cross-section leg 1)</w:t>
            </w:r>
          </w:p>
        </w:tc>
      </w:tr>
      <w:tr>
        <w:tc>
          <w:tcPr>
            <w:tcW w:type="dxa" w:w="3000"/>
          </w:tcPr>
          <w:p>
            <w:r>
              <w:rPr>
                <w:b w:val="false"/>
                <w:bCs w:val="false"/>
              </w:rPr>
              <w:t xml:space="preserve">Interior Depth / Height</w:t>
            </w:r>
          </w:p>
        </w:tc>
        <w:tc>
          <w:tcPr>
            <w:tcW w:type="dxa" w:w="3000"/>
          </w:tcPr>
          <w:p>
            <w:r>
              <w:rPr>
                <w:b w:val="false"/>
                <w:bCs w:val="false"/>
              </w:rPr>
              <w:t xml:space="preserve">3.25 in</w:t>
            </w:r>
          </w:p>
        </w:tc>
        <w:tc>
          <w:tcPr>
            <w:tcW w:type="dxa" w:w="3000"/>
          </w:tcPr>
          <w:p>
            <w:r>
              <w:rPr>
                <w:b w:val="false"/>
                <w:bCs w:val="false"/>
              </w:rPr>
              <w:t xml:space="preserve">3.25 in (cross-section leg 2)</w:t>
            </w:r>
          </w:p>
        </w:tc>
      </w:tr>
      <w:tr>
        <w:tc>
          <w:tcPr>
            <w:tcW w:type="dxa" w:w="3000"/>
          </w:tcPr>
          <w:p>
            <w:r>
              <w:rPr>
                <w:b w:val="false"/>
                <w:bCs w:val="false"/>
              </w:rPr>
              <w:t xml:space="preserve">Cross-section hypotenuse</w:t>
            </w:r>
          </w:p>
        </w:tc>
        <w:tc>
          <w:tcPr>
            <w:tcW w:type="dxa" w:w="3000"/>
          </w:tcPr>
          <w:p>
            <w:r>
              <w:rPr>
                <w:b w:val="false"/>
                <w:bCs w:val="false"/>
              </w:rPr>
              <w:t xml:space="preserve">— (not a triangular cross-section)</w:t>
            </w:r>
          </w:p>
        </w:tc>
        <w:tc>
          <w:tcPr>
            <w:tcW w:type="dxa" w:w="3000"/>
          </w:tcPr>
          <w:p>
            <w:r>
              <w:rPr>
                <w:b w:val="false"/>
                <w:bCs w:val="false"/>
              </w:rPr>
              <w:t xml:space="preserve">to be computed from the two legs above</w:t>
            </w:r>
          </w:p>
        </w:tc>
      </w:tr>
    </w:tbl>
    <w:p>
      <w:pPr>
        <w:pStyle w:val="Heading1"/>
      </w:pPr>
      <w:r>
        <w:t xml:space="preserve">Appendix D — Material Cost Reference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1a3a5c" w:color="auto" w:val="clear"/>
          </w:tcPr>
          <w:p>
            <w:r>
              <w:rPr>
                <w:b/>
                <w:bCs/>
                <w:color w:val="FFFFFF"/>
              </w:rPr>
              <w:t xml:space="preserve"/>
            </w:r>
          </w:p>
        </w:tc>
        <w:tc>
          <w:tcPr>
            <w:tcW w:type="dxa" w:w="4500"/>
            <w:shd w:fill="1a3a5c" w:color="auto" w:val="clear"/>
          </w:tcPr>
          <w:p>
            <w:r>
              <w:rPr>
                <w:b/>
                <w:bCs/>
                <w:color w:val="FFFFFF"/>
              </w:rPr>
              <w:t xml:space="preserve">Value</w:t>
            </w:r>
          </w:p>
        </w:tc>
      </w:tr>
      <w:tr>
        <w:tc>
          <w:tcPr>
            <w:tcW w:type="dxa" w:w="4500"/>
          </w:tcPr>
          <w:p>
            <w:r>
              <w:rPr>
                <w:b w:val="false"/>
                <w:bCs w:val="false"/>
              </w:rPr>
              <w:t xml:space="preserve">Corrugated stock</w:t>
            </w:r>
          </w:p>
        </w:tc>
        <w:tc>
          <w:tcPr>
            <w:tcW w:type="dxa" w:w="4500"/>
          </w:tcPr>
          <w:p>
            <w:r>
              <w:rPr>
                <w:b w:val="false"/>
                <w:bCs w:val="false"/>
              </w:rPr>
              <w:t xml:space="preserve">Single-wall, 200 lb test, white/kraft (a common corrugated finish: one side coated smooth white for printing, the other left in its natural brown "kraft" paper — a cosmetic finish, not something that affects any calculation in this case), 5/32 in thick (the board’s total thickness once glued together — a rating of the sheet itself, not a dimension you compute with)</w:t>
            </w:r>
          </w:p>
        </w:tc>
      </w:tr>
      <w:tr>
        <w:tc>
          <w:tcPr>
            <w:tcW w:type="dxa" w:w="4500"/>
          </w:tcPr>
          <w:p>
            <w:r>
              <w:rPr>
                <w:b w:val="false"/>
                <w:bCs w:val="false"/>
              </w:rPr>
              <w:t xml:space="preserve">Sheet size priced</w:t>
            </w:r>
          </w:p>
        </w:tc>
        <w:tc>
          <w:tcPr>
            <w:tcW w:type="dxa" w:w="4500"/>
          </w:tcPr>
          <w:p>
            <w:r>
              <w:rPr>
                <w:b w:val="false"/>
                <w:bCs w:val="false"/>
              </w:rPr>
              <w:t xml:space="preserve">24 in × 36 in (864 sq in)</w:t>
            </w:r>
          </w:p>
        </w:tc>
      </w:tr>
      <w:tr>
        <w:tc>
          <w:tcPr>
            <w:tcW w:type="dxa" w:w="4500"/>
          </w:tcPr>
          <w:p>
            <w:r>
              <w:rPr>
                <w:b w:val="false"/>
                <w:bCs w:val="false"/>
              </w:rPr>
              <w:t xml:space="preserve">Price per individual sheet</w:t>
            </w:r>
          </w:p>
        </w:tc>
        <w:tc>
          <w:tcPr>
            <w:tcW w:type="dxa" w:w="4500"/>
          </w:tcPr>
          <w:p>
            <w:r>
              <w:rPr>
                <w:b w:val="false"/>
                <w:bCs w:val="false"/>
              </w:rPr>
              <w:t xml:space="preserve">$2.37 [S1]</w:t>
            </w:r>
          </w:p>
        </w:tc>
      </w:tr>
      <w:tr>
        <w:tc>
          <w:tcPr>
            <w:tcW w:type="dxa" w:w="4500"/>
          </w:tcPr>
          <w:p>
            <w:r>
              <w:rPr>
                <w:b w:val="false"/>
                <w:bCs w:val="false"/>
              </w:rPr>
              <w:t xml:space="preserve">Price per square inch</w:t>
            </w:r>
          </w:p>
        </w:tc>
        <w:tc>
          <w:tcPr>
            <w:tcW w:type="dxa" w:w="4500"/>
          </w:tcPr>
          <w:p>
            <w:r>
              <w:rPr>
                <w:b w:val="false"/>
                <w:bCs w:val="false"/>
              </w:rPr>
              <w:t xml:space="preserve">$0.0027431 (derived: $2.37 ÷ 864 sq in)</w:t>
            </w:r>
          </w:p>
        </w:tc>
      </w:tr>
    </w:tbl>
    <w:p>
      <w:r>
        <w:t xml:space="preserve">“200 lb test” is the industry rating for how much force the flat sheet resists before it punctures — a measure of the stock's strength, not a physical shipping weight. $2.37 is the price of one 24 in × 36 in sheet at the supplier's 50-sheet bundle tier, not the price of the whole bundle; the supplier only sells this sheet in bundles of 50 or more, so a 50-sheet bundle costs $2.37 × 50 = $118.50, but every calculation in this case (and the derived per-square-inch price above) uses the $2.37 single-sheet price.</w:t>
      </w:r>
    </w:p>
    <w:p>
      <w:r>
        <w:t xml:space="preserve">This is the same raw material both options are cut from. The die shape changes how much of the sheet ends up as box versus scrap, but not the price of the sheet itself.</w:t>
      </w:r>
    </w:p>
    <w:p>
      <w:pPr>
        <w:pStyle w:val="Heading1"/>
      </w:pPr>
      <w:r>
        <w:t xml:space="preserve">Appendix E — Modeling Assumptions</w:t>
      </w:r>
    </w:p>
    <w:p>
      <w:r>
        <w:rPr>
          <w:i/>
          <w:iCs/>
        </w:rPr>
        <w:t xml:space="preserve">These figures are not sourced to a single public price, because a die-shop quote for one specific company's one specific box is not a published figure anywhere. They are stated scenario assumptions chosen by the case author, each with a real basis named below. A Hero may challenge them in discussion — that is a legitimate move, and Appendix H names the skills a Hero would need to test one.</w:t>
      </w:r>
    </w:p>
    <w:p>
      <w:r>
        <w:t xml:space="preserve">In the Sensitivity column below, “the margin” means how far apart Option A’s and Option B’s final D5 scores end up, as a percent — the same “how big was the gap between the winner and the loser” idea D5 already asks you to state. “The margin is sensitive to this value” means: change this one assumption and that percent gap changes noticeably, possibly enough to flip who wins.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1300"/>
        <w:gridCol w:w="3800"/>
        <w:gridCol w:w="1600"/>
      </w:tblGrid>
      <w:tr>
        <w:tc>
          <w:tcPr>
            <w:tcW w:type="dxa" w:w="700"/>
            <w:shd w:fill="1a3a5c" w:color="auto" w:val="clear"/>
          </w:tcPr>
          <w:p>
            <w:r>
              <w:rPr>
                <w:b/>
                <w:bCs/>
                <w:color w:val="FFFFFF"/>
              </w:rPr>
              <w:t xml:space="preserve">#</w:t>
            </w:r>
          </w:p>
        </w:tc>
        <w:tc>
          <w:tcPr>
            <w:tcW w:type="dxa" w:w="2600"/>
            <w:shd w:fill="1a3a5c" w:color="auto" w:val="clear"/>
          </w:tcPr>
          <w:p>
            <w:r>
              <w:rPr>
                <w:b/>
                <w:bCs/>
                <w:color w:val="FFFFFF"/>
              </w:rPr>
              <w:t xml:space="preserve">Assumption</w:t>
            </w:r>
          </w:p>
        </w:tc>
        <w:tc>
          <w:tcPr>
            <w:tcW w:type="dxa" w:w="1300"/>
            <w:shd w:fill="1a3a5c" w:color="auto" w:val="clear"/>
          </w:tcPr>
          <w:p>
            <w:r>
              <w:rPr>
                <w:b/>
                <w:bCs/>
                <w:color w:val="FFFFFF"/>
              </w:rPr>
              <w:t xml:space="preserve">Value used</w:t>
            </w:r>
          </w:p>
        </w:tc>
        <w:tc>
          <w:tcPr>
            <w:tcW w:type="dxa" w:w="3800"/>
            <w:shd w:fill="1a3a5c" w:color="auto" w:val="clear"/>
          </w:tcPr>
          <w:p>
            <w:r>
              <w:rPr>
                <w:b/>
                <w:bCs/>
                <w:color w:val="FFFFFF"/>
              </w:rPr>
              <w:t xml:space="preserve">Basis</w:t>
            </w:r>
          </w:p>
        </w:tc>
        <w:tc>
          <w:tcPr>
            <w:tcW w:type="dxa" w:w="1600"/>
            <w:shd w:fill="1a3a5c" w:color="auto" w:val="clear"/>
          </w:tcPr>
          <w:p>
            <w:r>
              <w:rPr>
                <w:b/>
                <w:bCs/>
                <w:color w:val="FFFFFF"/>
              </w:rPr>
              <w:t xml:space="preserve">Sensitivity</w:t>
            </w:r>
          </w:p>
        </w:tc>
      </w:tr>
      <w:tr>
        <w:tc>
          <w:tcPr>
            <w:tcW w:type="dxa" w:w="700"/>
          </w:tcPr>
          <w:p>
            <w:r>
              <w:rPr>
                <w:b w:val="false"/>
                <w:bCs w:val="false"/>
              </w:rPr>
              <w:t xml:space="preserve">MA1</w:t>
            </w:r>
          </w:p>
        </w:tc>
        <w:tc>
          <w:tcPr>
            <w:tcW w:type="dxa" w:w="2600"/>
          </w:tcPr>
          <w:p>
            <w:r>
              <w:rPr>
                <w:b w:val="false"/>
                <w:bCs w:val="false"/>
              </w:rPr>
              <w:t xml:space="preserve">One-time steel-rule die cost, Option A (simple rectangular net — six straight-line panels, all 90-degree folds)</w:t>
            </w:r>
          </w:p>
        </w:tc>
        <w:tc>
          <w:tcPr>
            <w:tcW w:type="dxa" w:w="1300"/>
          </w:tcPr>
          <w:p>
            <w:r>
              <w:rPr>
                <w:b w:val="false"/>
                <w:bCs w:val="false"/>
              </w:rPr>
              <w:t xml:space="preserve">$450</w:t>
            </w:r>
          </w:p>
        </w:tc>
        <w:tc>
          <w:tcPr>
            <w:tcW w:type="dxa" w:w="3800"/>
          </w:tcPr>
          <w:p>
            <w:r>
              <w:rPr>
                <w:b w:val="false"/>
                <w:bCs w:val="false"/>
              </w:rPr>
              <w:t xml:space="preserve">Industry pricing pages consistently describe die cost as scaling with total rule footage and design complexity, but published dollar figures for specific dies vary widely across sources with no single primary methodology. This case fixes a representative value for the simplest possible die style. No published dollar-per-foot rate exists to compute this from rule footage directly, so $450 and $1,450 (MA2) are fixed scenario values chosen by the case, not figures derived from a formula.</w:t>
            </w:r>
          </w:p>
        </w:tc>
        <w:tc>
          <w:tcPr>
            <w:tcW w:type="dxa" w:w="1600"/>
          </w:tcPr>
          <w:p>
            <w:r>
              <w:rPr>
                <w:b w:val="false"/>
                <w:bCs w:val="false"/>
              </w:rPr>
              <w:t xml:space="preserve">The margin is sensitive to this value — see D5.</w:t>
            </w:r>
          </w:p>
        </w:tc>
      </w:tr>
      <w:tr>
        <w:tc>
          <w:tcPr>
            <w:tcW w:type="dxa" w:w="700"/>
          </w:tcPr>
          <w:p>
            <w:r>
              <w:rPr>
                <w:b w:val="false"/>
                <w:bCs w:val="false"/>
              </w:rPr>
              <w:t xml:space="preserve">MA2</w:t>
            </w:r>
          </w:p>
        </w:tc>
        <w:tc>
          <w:tcPr>
            <w:tcW w:type="dxa" w:w="2600"/>
          </w:tcPr>
          <w:p>
            <w:r>
              <w:rPr>
                <w:b w:val="false"/>
                <w:bCs w:val="false"/>
              </w:rPr>
              <w:t xml:space="preserve">One-time steel-rule die cost, Option B (triangular-prism net — two triangular panels plus three angled rectangular panels)</w:t>
            </w:r>
          </w:p>
        </w:tc>
        <w:tc>
          <w:tcPr>
            <w:tcW w:type="dxa" w:w="1300"/>
          </w:tcPr>
          <w:p>
            <w:r>
              <w:rPr>
                <w:b w:val="false"/>
                <w:bCs w:val="false"/>
              </w:rPr>
              <w:t xml:space="preserve">$1,450</w:t>
            </w:r>
          </w:p>
        </w:tc>
        <w:tc>
          <w:tcPr>
            <w:tcW w:type="dxa" w:w="3800"/>
          </w:tcPr>
          <w:p>
            <w:r>
              <w:rPr>
                <w:b w:val="false"/>
                <w:bCs w:val="false"/>
              </w:rPr>
              <w:t xml:space="preserve">Same sourcing limitation as MA1. This case fixes a value roughly 3.2x MA1’s, reflecting the additional rule footage from the angled triangular panels and the extra setup a non-90-degree fold pattern requires, consistent with the qualitative pattern found across industry sources even though no source gave a defensible exact multiplier.</w:t>
            </w:r>
          </w:p>
        </w:tc>
        <w:tc>
          <w:tcPr>
            <w:tcW w:type="dxa" w:w="1600"/>
          </w:tcPr>
          <w:p>
            <w:r>
              <w:rPr>
                <w:b w:val="false"/>
                <w:bCs w:val="false"/>
              </w:rPr>
              <w:t xml:space="preserve">The margin is sensitive to this value — see D5.</w:t>
            </w:r>
          </w:p>
        </w:tc>
      </w:tr>
      <w:tr>
        <w:tc>
          <w:tcPr>
            <w:tcW w:type="dxa" w:w="700"/>
          </w:tcPr>
          <w:p>
            <w:r>
              <w:rPr>
                <w:b w:val="false"/>
                <w:bCs w:val="false"/>
              </w:rPr>
              <w:t xml:space="preserve">MA3</w:t>
            </w:r>
          </w:p>
        </w:tc>
        <w:tc>
          <w:tcPr>
            <w:tcW w:type="dxa" w:w="2600"/>
          </w:tcPr>
          <w:p>
            <w:r>
              <w:rPr>
                <w:b w:val="false"/>
                <w:bCs w:val="false"/>
              </w:rPr>
              <w:t xml:space="preserve">Expected order volume for The Wedge before the next re-tooling decision point</w:t>
            </w:r>
          </w:p>
        </w:tc>
        <w:tc>
          <w:tcPr>
            <w:tcW w:type="dxa" w:w="1300"/>
          </w:tcPr>
          <w:p>
            <w:r>
              <w:rPr>
                <w:b w:val="false"/>
                <w:bCs w:val="false"/>
              </w:rPr>
              <w:t xml:space="preserve">12,000 units</w:t>
            </w:r>
          </w:p>
        </w:tc>
        <w:tc>
          <w:tcPr>
            <w:tcW w:type="dxa" w:w="3800"/>
          </w:tcPr>
          <w:p>
            <w:r>
              <w:rPr>
                <w:b w:val="false"/>
                <w:bCs w:val="false"/>
              </w:rPr>
              <w:t xml:space="preserve">Tied directly to the bakery’s own current nationwide order volume — the packaging team’s working forecast is that The Wedge will account for roughly one week’s worth of the bakery’s present order volume before the next production run reaches the point where a die change could even be considered again. This case defines the re-tooling horizon as whatever order volume Marcus’s team can actually count on with confidence at the moment of the decision — for a brand-new, unproven product with no purchase commitment from any buyer, that confidently-known volume is only the near-term production window. If a buyer instead signs a purchase order that guarantees a specific volume over a stated contract term, the confidently-known volume becomes the full guaranteed volume over that contract’s own term — not a smaller number obtained by squeezing that guarantee back down into the original 8-week window. This is a business forecast, not a public fact, and a Hero may reasonably argue for a different number.</w:t>
            </w:r>
          </w:p>
        </w:tc>
        <w:tc>
          <w:tcPr>
            <w:tcW w:type="dxa" w:w="1600"/>
          </w:tcPr>
          <w:p>
            <w:r>
              <w:rPr>
                <w:b w:val="false"/>
                <w:bCs w:val="false"/>
              </w:rPr>
              <w:t xml:space="preserve">The margin is highly sensitive to this value — see D5.</w:t>
            </w:r>
          </w:p>
        </w:tc>
      </w:tr>
    </w:tbl>
    <w:p>
      <w:pPr>
        <w:pStyle w:val="Heading1"/>
      </w:pPr>
      <w:r>
        <w:t xml:space="preserve">Appendix F — Sources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2200"/>
        <w:gridCol w:w="2200"/>
        <w:gridCol w:w="900"/>
        <w:gridCol w:w="1000"/>
      </w:tblGrid>
      <w:tr>
        <w:tc>
          <w:tcPr>
            <w:tcW w:type="dxa" w:w="500"/>
            <w:shd w:fill="1a3a5c" w:color="auto" w:val="clear"/>
          </w:tcPr>
          <w:p>
            <w:r>
              <w:rPr>
                <w:b/>
                <w:bCs/>
                <w:color w:val="FFFFFF"/>
              </w:rPr>
              <w:t xml:space="preserve">id</w:t>
            </w:r>
          </w:p>
        </w:tc>
        <w:tc>
          <w:tcPr>
            <w:tcW w:type="dxa" w:w="2200"/>
            <w:shd w:fill="1a3a5c" w:color="auto" w:val="clear"/>
          </w:tcPr>
          <w:p>
            <w:r>
              <w:rPr>
                <w:b/>
                <w:bCs/>
                <w:color w:val="FFFFFF"/>
              </w:rPr>
              <w:t xml:space="preserve">Claim</w:t>
            </w:r>
          </w:p>
        </w:tc>
        <w:tc>
          <w:tcPr>
            <w:tcW w:type="dxa" w:w="2200"/>
            <w:shd w:fill="1a3a5c" w:color="auto" w:val="clear"/>
          </w:tcPr>
          <w:p>
            <w:r>
              <w:rPr>
                <w:b/>
                <w:bCs/>
                <w:color w:val="FFFFFF"/>
              </w:rPr>
              <w:t xml:space="preserve">Value</w:t>
            </w:r>
          </w:p>
        </w:tc>
        <w:tc>
          <w:tcPr>
            <w:tcW w:type="dxa" w:w="2200"/>
            <w:shd w:fill="1a3a5c" w:color="auto" w:val="clear"/>
          </w:tcPr>
          <w:p>
            <w:r>
              <w:rPr>
                <w:b/>
                <w:bCs/>
                <w:color w:val="FFFFFF"/>
              </w:rPr>
              <w:t xml:space="preserve">Source</w:t>
            </w:r>
          </w:p>
        </w:tc>
        <w:tc>
          <w:tcPr>
            <w:tcW w:type="dxa" w:w="900"/>
            <w:shd w:fill="1a3a5c" w:color="auto" w:val="clear"/>
          </w:tcPr>
          <w:p>
            <w:r>
              <w:rPr>
                <w:b/>
                <w:bCs/>
                <w:color w:val="FFFFFF"/>
              </w:rPr>
              <w:t xml:space="preserve">Accessed</w:t>
            </w:r>
          </w:p>
        </w:tc>
        <w:tc>
          <w:tcPr>
            <w:tcW w:type="dxa" w:w="1000"/>
            <w:shd w:fill="1a3a5c" w:color="auto" w:val="clear"/>
          </w:tcPr>
          <w:p>
            <w:r>
              <w:rPr>
                <w:b/>
                <w:bCs/>
                <w:color w:val="FFFFFF"/>
              </w:rPr>
              <w:t xml:space="preserve">Confidence</w:t>
            </w:r>
          </w:p>
        </w:tc>
      </w:tr>
      <w:tr>
        <w:tc>
          <w:tcPr>
            <w:tcW w:type="dxa" w:w="500"/>
          </w:tcPr>
          <w:p>
            <w:r>
              <w:rPr>
                <w:b w:val="false"/>
                <w:bCs w:val="false"/>
              </w:rPr>
              <w:t xml:space="preserve">S1</w:t>
            </w:r>
          </w:p>
        </w:tc>
        <w:tc>
          <w:tcPr>
            <w:tcW w:type="dxa" w:w="2200"/>
          </w:tcPr>
          <w:p>
            <w:r>
              <w:rPr>
                <w:b w:val="false"/>
                <w:bCs w:val="false"/>
              </w:rPr>
              <w:t xml:space="preserve">Price of one 24 in x 36 in, 200 lb test single-wall corrugated cardboard pad, at the 50-pad bundle-quantity price tier</w:t>
            </w:r>
          </w:p>
        </w:tc>
        <w:tc>
          <w:tcPr>
            <w:tcW w:type="dxa" w:w="2200"/>
          </w:tcPr>
          <w:p>
            <w:r>
              <w:rPr>
                <w:b w:val="false"/>
                <w:bCs w:val="false"/>
              </w:rPr>
              <w:t xml:space="preserve">$2.37 per individual pad (the supplier’s own "PRICE PER PAD" column at its 50-pad tier; a 50-pad bundle therefore costs $2.37 x 50 = $118.50 — $2.37 is the per-pad price, not the bundle price)</w:t>
            </w:r>
          </w:p>
        </w:tc>
        <w:tc>
          <w:tcPr>
            <w:tcW w:type="dxa" w:w="2200"/>
          </w:tcPr>
          <w:p>
            <w:r>
              <w:t xml:space="preserve">Uline, product S-15058, "24 x 36" 200 lb Cardboard Corrugated Pads — White" (</w:t>
            </w:r>
            <w:hyperlink w:history="1" r:id="rIdu98akp6fcfqtimjuusefn">
              <w:r>
                <w:rPr>
                  <w:rStyle w:val="Hyperlink"/>
                </w:rPr>
                <w:t xml:space="preserve">link</w:t>
              </w:r>
            </w:hyperlink>
            <w:r>
              <w:t xml:space="preserve">)</w:t>
            </w:r>
          </w:p>
        </w:tc>
        <w:tc>
          <w:tcPr>
            <w:tcW w:type="dxa" w:w="900"/>
          </w:tcPr>
          <w:p>
            <w:r>
              <w:rPr>
                <w:b w:val="false"/>
                <w:bCs w:val="false"/>
              </w:rPr>
              <w:t xml:space="preserve">2026-09-06</w:t>
            </w:r>
          </w:p>
        </w:tc>
        <w:tc>
          <w:tcPr>
            <w:tcW w:type="dxa" w:w="1000"/>
          </w:tcPr>
          <w:p>
            <w:r>
              <w:rPr>
                <w:b w:val="false"/>
                <w:bCs w:val="false"/>
              </w:rPr>
              <w:t xml:space="preserve">HIGH — a primary retailer’s own current, dated-by-access, unambiguous per-unit price for a real corrugated product in stated dimensions and basis weight</w:t>
            </w:r>
          </w:p>
        </w:tc>
      </w:tr>
    </w:tbl>
    <w:p>
      <w:pPr>
        <w:pStyle w:val="Heading1"/>
      </w:pPr>
      <w:r>
        <w:t xml:space="preserve">Appendix G — Learn More</w:t>
      </w:r>
    </w:p>
    <w:p>
      <w:r>
        <w:t xml:space="preserve">Curious about the real-world math and industry behind this case? These resources go beyond what the challenges require.</w:t>
      </w:r>
    </w:p>
    <w:p>
      <w:pPr>
        <w:pStyle w:val="ListParagraph"/>
        <w:numPr>
          <w:ilvl w:val="0"/>
          <w:numId w:val="2"/>
        </w:numPr>
      </w:pPr>
      <w:hyperlink w:history="1" r:id="rIdicziusyb_xa7fcnrbgkn5">
        <w:r>
          <w:rPr>
            <w:rStyle w:val="Hyperlink"/>
          </w:rPr>
          <w:t xml:space="preserve">Corrugated fiberboard — Wikipedia</w:t>
        </w:r>
      </w:hyperlink>
      <w:r>
        <w:t xml:space="preserve"> — background on corrugated cardboard construction and the "single-wall" stock referenced in Appendix D.</w:t>
      </w:r>
    </w:p>
    <w:p>
      <w:pPr>
        <w:pStyle w:val="ListParagraph"/>
        <w:numPr>
          <w:ilvl w:val="0"/>
          <w:numId w:val="2"/>
        </w:numPr>
      </w:pPr>
      <w:hyperlink w:history="1" r:id="rIdyaxs1msjrbuk9nn2_-zwj">
        <w:r>
          <w:rPr>
            <w:rStyle w:val="Hyperlink"/>
          </w:rPr>
          <w:t xml:space="preserve">Die cutting — Wikipedia</w:t>
        </w:r>
      </w:hyperlink>
      <w:r>
        <w:t xml:space="preserve"> — how a steel-rule die actually cuts and creases a flat sheet into a box net.</w:t>
      </w:r>
    </w:p>
    <w:p>
      <w:pPr>
        <w:pStyle w:val="ListParagraph"/>
        <w:numPr>
          <w:ilvl w:val="0"/>
          <w:numId w:val="2"/>
        </w:numPr>
      </w:pPr>
      <w:hyperlink w:history="1" r:id="rIdnqrtjgfjttcntn7fttf5a">
        <w:r>
          <w:rPr>
            <w:rStyle w:val="Hyperlink"/>
          </w:rPr>
          <w:t xml:space="preserve">Net (polyhedron) — Wikipedia</w:t>
        </w:r>
      </w:hyperlink>
      <w:r>
        <w:t xml:space="preserve"> — the general math behind unfolding a 3-D shape into a flat, 2-D net.</w:t>
      </w:r>
    </w:p>
    <w:p>
      <w:pPr>
        <w:pStyle w:val="ListParagraph"/>
        <w:numPr>
          <w:ilvl w:val="0"/>
          <w:numId w:val="2"/>
        </w:numPr>
      </w:pPr>
      <w:hyperlink w:history="1" r:id="rIdsup3ksh8vghedisvsfu3p">
        <w:r>
          <w:rPr>
            <w:rStyle w:val="Hyperlink"/>
          </w:rPr>
          <w:t xml:space="preserve">Dimensional weight — Wikipedia</w:t>
        </w:r>
      </w:hyperlink>
      <w:r>
        <w:t xml:space="preserve"> — background on why shippers increasingly bill by the cubic inch a box occupies rather than by its physical weight, the real-world pressure behind this case’s Background.</w:t>
      </w:r>
    </w:p>
    <w:p>
      <w:pPr>
        <w:pStyle w:val="ListParagraph"/>
        <w:numPr>
          <w:ilvl w:val="0"/>
          <w:numId w:val="2"/>
        </w:numPr>
      </w:pPr>
      <w:hyperlink w:history="1" r:id="rId2kbroz0uycbqhajsa9vbc">
        <w:r>
          <w:rPr>
            <w:rStyle w:val="Hyperlink"/>
          </w:rPr>
          <w:t xml:space="preserve">Triangular prism — Wikipedia</w:t>
        </w:r>
      </w:hyperlink>
      <w:r>
        <w:t xml:space="preserve"> — the shape behind Option B, The Fitted Wedge.</w:t>
      </w:r>
    </w:p>
    <w:p>
      <w:pPr>
        <w:pStyle w:val="ListParagraph"/>
        <w:numPr>
          <w:ilvl w:val="0"/>
          <w:numId w:val="2"/>
        </w:numPr>
      </w:pPr>
      <w:hyperlink w:history="1" r:id="rId_ywn8bbifbjhlci3sxbr-">
        <w:r>
          <w:rPr>
            <w:rStyle w:val="Hyperlink"/>
          </w:rPr>
          <w:t xml:space="preserve">Steel rule die — Wikipedia</w:t>
        </w:r>
      </w:hyperlink>
      <w:r>
        <w:t xml:space="preserve"> — how the actual cutting tool behind Appendix E’s die costs is built and used.</w:t>
      </w:r>
    </w:p>
    <w:p>
      <w:pPr>
        <w:pStyle w:val="ListParagraph"/>
        <w:numPr>
          <w:ilvl w:val="0"/>
          <w:numId w:val="2"/>
        </w:numPr>
      </w:pPr>
      <w:hyperlink w:history="1" r:id="rId2jfrmxeq1mttmkhbwlz3o">
        <w:r>
          <w:rPr>
            <w:rStyle w:val="Hyperlink"/>
          </w:rPr>
          <w:t xml:space="preserve">Amortization (business) — Wikipedia</w:t>
        </w:r>
      </w:hyperlink>
      <w:r>
        <w:t xml:space="preserve"> — the general idea, used in Background and Appendix E, of spreading a one-time cost across every unit it helps produce.</w:t>
      </w:r>
    </w:p>
    <w:p>
      <w:pPr>
        <w:pStyle w:val="ListParagraph"/>
        <w:numPr>
          <w:ilvl w:val="0"/>
          <w:numId w:val="2"/>
        </w:numPr>
      </w:pPr>
      <w:hyperlink w:history="1" r:id="rId-hxw2v89onpaipjr9q4yw">
        <w:r>
          <w:rPr>
            <w:rStyle w:val="Hyperlink"/>
          </w:rPr>
          <w:t xml:space="preserve">Order fulfillment — Wikipedia</w:t>
        </w:r>
      </w:hyperlink>
      <w:r>
        <w:t xml:space="preserve"> — what a fulfillment center actually does for a company like Marcus’s bakery.</w:t>
      </w:r>
    </w:p>
    <w:p>
      <w:pPr>
        <w:pStyle w:val="ListParagraph"/>
        <w:numPr>
          <w:ilvl w:val="0"/>
          <w:numId w:val="2"/>
        </w:numPr>
      </w:pPr>
      <w:hyperlink w:history="1" r:id="rIdf0_2hhsgyhg52hbg3bvzd">
        <w:r>
          <w:rPr>
            <w:rStyle w:val="Hyperlink"/>
          </w:rPr>
          <w:t xml:space="preserve">Corrugated box design — Wikipedia</w:t>
        </w:r>
      </w:hyperlink>
      <w:r>
        <w:t xml:space="preserve"> — how basis-weight ratings like Appendix D’s "200 lb test" measure a corrugated sheet’s strength.</w:t>
      </w:r>
    </w:p>
    <w:p>
      <w:pPr>
        <w:pStyle w:val="Heading1"/>
      </w:pPr>
      <w:r>
        <w:t xml:space="preserve">Appendix H — "How To…" Math Questions To Research</w:t>
      </w:r>
    </w:p>
    <w:p>
      <w:r>
        <w:rPr>
          <w:b/>
          <w:bCs/>
        </w:rPr>
        <w:t xml:space="preserve">Vocabulary terms</w:t>
      </w:r>
    </w:p>
    <w:p>
      <w:pPr>
        <w:pStyle w:val="ListParagraph"/>
        <w:numPr>
          <w:ilvl w:val="0"/>
          <w:numId w:val="2"/>
        </w:numPr>
      </w:pPr>
      <w:r>
        <w:t xml:space="preserve">Net</w:t>
      </w:r>
    </w:p>
    <w:p>
      <w:pPr>
        <w:pStyle w:val="ListParagraph"/>
        <w:numPr>
          <w:ilvl w:val="0"/>
          <w:numId w:val="2"/>
        </w:numPr>
      </w:pPr>
      <w:r>
        <w:t xml:space="preserve">Face</w:t>
      </w:r>
    </w:p>
    <w:p>
      <w:pPr>
        <w:pStyle w:val="ListParagraph"/>
        <w:numPr>
          <w:ilvl w:val="0"/>
          <w:numId w:val="2"/>
        </w:numPr>
      </w:pPr>
      <w:r>
        <w:t xml:space="preserve">Edge</w:t>
      </w:r>
    </w:p>
    <w:p>
      <w:pPr>
        <w:pStyle w:val="ListParagraph"/>
        <w:numPr>
          <w:ilvl w:val="0"/>
          <w:numId w:val="2"/>
        </w:numPr>
      </w:pPr>
      <w:r>
        <w:t xml:space="preserve">Pyramid</w:t>
      </w:r>
    </w:p>
    <w:p>
      <w:pPr>
        <w:pStyle w:val="ListParagraph"/>
        <w:numPr>
          <w:ilvl w:val="0"/>
          <w:numId w:val="2"/>
        </w:numPr>
      </w:pPr>
      <w:r>
        <w:t xml:space="preserve">Prism</w:t>
      </w:r>
    </w:p>
    <w:p>
      <w:pPr>
        <w:pStyle w:val="ListParagraph"/>
        <w:numPr>
          <w:ilvl w:val="0"/>
          <w:numId w:val="2"/>
        </w:numPr>
      </w:pPr>
      <w:r>
        <w:t xml:space="preserve">Cone</w:t>
      </w:r>
    </w:p>
    <w:p>
      <w:pPr>
        <w:pStyle w:val="ListParagraph"/>
        <w:numPr>
          <w:ilvl w:val="0"/>
          <w:numId w:val="2"/>
        </w:numPr>
      </w:pPr>
      <w:r>
        <w:t xml:space="preserve">Cylinder</w:t>
      </w:r>
    </w:p>
    <w:p>
      <w:pPr>
        <w:pStyle w:val="ListParagraph"/>
        <w:numPr>
          <w:ilvl w:val="0"/>
          <w:numId w:val="2"/>
        </w:numPr>
      </w:pPr>
      <w:r>
        <w:t xml:space="preserve">Sphere</w:t>
      </w:r>
    </w:p>
    <w:p>
      <w:pPr>
        <w:pStyle w:val="ListParagraph"/>
        <w:numPr>
          <w:ilvl w:val="0"/>
          <w:numId w:val="2"/>
        </w:numPr>
      </w:pPr>
      <w:r>
        <w:t xml:space="preserve">Surface Area</w:t>
      </w:r>
    </w:p>
    <w:p>
      <w:pPr>
        <w:pStyle w:val="ListParagraph"/>
        <w:numPr>
          <w:ilvl w:val="0"/>
          <w:numId w:val="2"/>
        </w:numPr>
      </w:pPr>
      <w:r>
        <w:t xml:space="preserve">Volume</w:t>
      </w:r>
    </w:p>
    <w:p>
      <w:pPr>
        <w:pStyle w:val="ListParagraph"/>
        <w:numPr>
          <w:ilvl w:val="0"/>
          <w:numId w:val="2"/>
        </w:numPr>
      </w:pPr>
      <w:r>
        <w:t xml:space="preserve">Depth</w:t>
      </w:r>
    </w:p>
    <w:p>
      <w:r>
        <w:rPr>
          <w:b/>
          <w:bCs/>
        </w:rPr>
        <w:t xml:space="preserve">"How to…" questions</w:t>
      </w:r>
    </w:p>
    <w:p>
      <w:pPr>
        <w:pStyle w:val="ListParagraph"/>
        <w:numPr>
          <w:ilvl w:val="0"/>
          <w:numId w:val="2"/>
        </w:numPr>
      </w:pPr>
      <w:r>
        <w:t xml:space="preserve">How to name a 3-D shape</w:t>
      </w:r>
    </w:p>
    <w:p>
      <w:pPr>
        <w:pStyle w:val="ListParagraph"/>
        <w:numPr>
          <w:ilvl w:val="0"/>
          <w:numId w:val="2"/>
        </w:numPr>
      </w:pPr>
      <w:r>
        <w:t xml:space="preserve">How to draw the net of a 3-D shape</w:t>
      </w:r>
    </w:p>
    <w:p>
      <w:pPr>
        <w:pStyle w:val="ListParagraph"/>
        <w:numPr>
          <w:ilvl w:val="0"/>
          <w:numId w:val="2"/>
        </w:numPr>
      </w:pPr>
      <w:r>
        <w:t xml:space="preserve">How to find the surface area of a prism</w:t>
      </w:r>
    </w:p>
    <w:p>
      <w:pPr>
        <w:pStyle w:val="ListParagraph"/>
        <w:numPr>
          <w:ilvl w:val="0"/>
          <w:numId w:val="2"/>
        </w:numPr>
      </w:pPr>
      <w:r>
        <w:t xml:space="preserve">How to find the volume of a prism</w:t>
      </w:r>
    </w:p>
    <w:p>
      <w:pPr>
        <w:pStyle w:val="ListParagraph"/>
        <w:numPr>
          <w:ilvl w:val="0"/>
          <w:numId w:val="2"/>
        </w:numPr>
      </w:pPr>
      <w:r>
        <w:t xml:space="preserve">How to find the percent of a number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u98akp6fcfqtimjuusefn" Type="http://schemas.openxmlformats.org/officeDocument/2006/relationships/hyperlink" Target="https://www.uline.com/Product/Detail/S-15058/Corrugated-Pads/24-x-36-200-lb-Cardboard-Corrugated-Pads-White" TargetMode="External"/><Relationship Id="rIdicziusyb_xa7fcnrbgkn5" Type="http://schemas.openxmlformats.org/officeDocument/2006/relationships/hyperlink" Target="https://en.wikipedia.org/wiki/Corrugated_fiberboard" TargetMode="External"/><Relationship Id="rIdyaxs1msjrbuk9nn2_-zwj" Type="http://schemas.openxmlformats.org/officeDocument/2006/relationships/hyperlink" Target="https://en.wikipedia.org/wiki/Die_cutting" TargetMode="External"/><Relationship Id="rIdnqrtjgfjttcntn7fttf5a" Type="http://schemas.openxmlformats.org/officeDocument/2006/relationships/hyperlink" Target="https://en.wikipedia.org/wiki/Net_(polyhedron)" TargetMode="External"/><Relationship Id="rIdsup3ksh8vghedisvsfu3p" Type="http://schemas.openxmlformats.org/officeDocument/2006/relationships/hyperlink" Target="https://en.wikipedia.org/wiki/Dimensional_weight" TargetMode="External"/><Relationship Id="rId2kbroz0uycbqhajsa9vbc" Type="http://schemas.openxmlformats.org/officeDocument/2006/relationships/hyperlink" Target="https://en.wikipedia.org/wiki/Triangular_prism" TargetMode="External"/><Relationship Id="rId_ywn8bbifbjhlci3sxbr-" Type="http://schemas.openxmlformats.org/officeDocument/2006/relationships/hyperlink" Target="https://en.wikipedia.org/wiki/Steel_rule_die" TargetMode="External"/><Relationship Id="rId2jfrmxeq1mttmkhbwlz3o" Type="http://schemas.openxmlformats.org/officeDocument/2006/relationships/hyperlink" Target="https://en.wikipedia.org/wiki/Amortization_(business)" TargetMode="External"/><Relationship Id="rId-hxw2v89onpaipjr9q4yw" Type="http://schemas.openxmlformats.org/officeDocument/2006/relationships/hyperlink" Target="https://en.wikipedia.org/wiki/Order_fulfillment" TargetMode="External"/><Relationship Id="rIdf0_2hhsgyhg52hbg3bvzd" Type="http://schemas.openxmlformats.org/officeDocument/2006/relationships/hyperlink" Target="https://en.wikipedia.org/wiki/Corrugated_box_design" TargetMode="External"/><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2026-09-06T12:17:11.346Z</dcterms:created>
  <dcterms:modified xsi:type="dcterms:W3CDTF">2026-09-06T12:17:11.351Z</dcterms:modified>
</cp:coreProperties>
</file>

<file path=docProps/custom.xml><?xml version="1.0" encoding="utf-8"?>
<Properties xmlns="http://schemas.openxmlformats.org/officeDocument/2006/custom-properties" xmlns:vt="http://schemas.openxmlformats.org/officeDocument/2006/docPropsVTypes"/>
</file>