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Facilitator Guide: The Custom Die</w:t>
      </w:r>
    </w:p>
    <w:p>
      <w:r>
        <w:rPr>
          <w:i/>
          <w:iCs/>
          <w:color w:val="a3312a"/>
          <w:sz w:val="20"/>
          <w:szCs w:val="20"/>
        </w:rPr>
        <w:t xml:space="preserve">MS | Math | Case Study | 2026-27 | Heroes Academy — FACILITATOR ONLY, do not distribute to students</w:t>
      </w:r>
    </w:p>
    <w:p/>
    <w:p>
      <w:pPr>
        <w:pStyle w:val="Heading1"/>
      </w:pPr>
      <w:r>
        <w:t xml:space="preserve">Sensitivity Note (SPEC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FBF8EE" w:color="auto" w:val="clear"/>
          </w:tcPr>
          <w:p>
            <w:r>
              <w:t xml:space="preserve">The verdict is genuinely fragile to Appendix E's order-volume assumption (MA3): the crossover point where the two options tie is approximately 16,230 units, well within plausible range of this bakery's own stated growth. Flexing MA3 is expected to flip the winner; this is disclosed rather than hidden, consistent with SPEC section 6 and MCS-26.</w:t>
            </w:r>
          </w:p>
          <w:p>
            <w:r>
              <w:t xml:space="preserve"/>
            </w:r>
          </w:p>
          <w:p>
            <w:r>
              <w:t xml:space="preserve">Two categories of disclosed sensitivity: (F) order_volume_units — a genuine future demand forecast for a brand-new product that cannot be known in advance; the case's own Twist deliberately revises this number once a real signed contract replaces the forecast. (X) tooling_b_usd — a proprietary die-shop quote with no public index; MA2's $1,450 is a documented good-faith estimate anchored to a general complexity-scaling pattern found across multiple industry sources, not a real citation for this exact die.</w:t>
            </w:r>
          </w:p>
        </w:tc>
      </w:tr>
    </w:tbl>
    <w:p>
      <w:pPr>
        <w:pStyle w:val="Heading1"/>
      </w:pPr>
      <w:r>
        <w:t xml:space="preserve">The Two Arguments and the Margin</w:t>
      </w:r>
    </w:p>
    <w:p>
      <w:r>
        <w:rPr>
          <w:b/>
          <w:bCs/>
        </w:rPr>
        <w:t xml:space="preserve">Case's real, graded metric: square inches of cardboard net per cubic inch of Wedge actually shipped, tooling-amortized. At the base case (12,000 units, Appendix E MA3), Option A wins by a margin of 6.39%.</w:t>
      </w:r>
    </w:p>
    <w:p>
      <w:r>
        <w:rPr>
          <w:b/>
          <w:bCs/>
        </w:rPr>
        <w:t xml:space="preserve">Argument A (winner at 12,000 units):</w:t>
      </w:r>
    </w:p>
    <w:p>
      <w:r>
        <w:t xml:space="preserve">The Standard Box's net uses 102.375 sq in of cardboard against a cheap $450 die (MA1); amortized across the expected 12,000-unit order volume (MA3) that works out to an effective 116.05 sq in per unit, or 4.298 sq in of cardboard per cubic inch of Wedge actually shipped — the winning number at this volume even though the box wastes 59.1% of its interior space on every single order.</w:t>
      </w:r>
    </w:p>
    <w:p>
      <w:r>
        <w:rPr>
          <w:b/>
          <w:bCs/>
        </w:rPr>
        <w:t xml:space="preserve">Argument B (loses at 12,000 units, wins after the Twist):</w:t>
      </w:r>
    </w:p>
    <w:p>
      <w:r>
        <w:t xml:space="preserve">The Fitted Wedge's net uses only 79.91 sq in of cardboard — 22% less material than Option A — and wastes only 18.2% of its interior space instead of 59.1%. That real, sourced-material win is genuine and independent of any assumption. It only stops being the deciding factor because its $1,450 die (MA2) is more than 3x Option A's, and at only 12,000 units of amortization (MA3) that tooling gap outweighs the material savings by 6.39%.</w:t>
      </w:r>
    </w:p>
    <w:p>
      <w:r>
        <w:rPr>
          <w:i/>
          <w:iCs/>
        </w:rPr>
        <w:t xml:space="preserve">Margin basis: net surface area (Appendix D-priced) plus each option's die cost converted to an equivalent cardboard quantity and spread across the expected order volume (Appendix E), divided by The Wedge's fixed 27 cubic inches, computed in cases/the-custom-die/sensitivity_model.py evaluate(). Crossover point: approximately 16,230 units — above that, Option B wins.</w:t>
      </w:r>
    </w:p>
    <w:p>
      <w:pPr>
        <w:pStyle w:val="Heading1"/>
      </w:pPr>
      <w:r>
        <w:t xml:space="preserve">Facilitator-Only Geometry Note</w:t>
      </w:r>
    </w:p>
    <w:p>
      <w:r>
        <w:t xml:space="preserve">Option A's net area is 102.375 sq in (rectangular prism, 2(LW+LD+WD) with L=6.25, W=3.25, D=3.25). Option B's net area is 79.914 sq in (triangular prism, two triangular ends of 5.281 sq in each plus three lateral rectangles totaling 69.351 sq in, using the hypotenuse 4.596 in from the two 3.25 in legs). Option B uses about 22% less cardboard by net area — a real material win. But Option A's box wastes 39.02 of its 66.02 cubic inches (59.1%), while Option B wastes only 6.01 of its 33.01 cubic inches (18.2%) — those two percentages (22% vs. 59.1%/18.2%) measure completely different things, which is exactly the trap: a Hero who conflates "wastes less space" with "uses less material" will overstate how lopsided this case actually is.</w:t>
      </w:r>
    </w:p>
    <w:p>
      <w:r>
        <w:t xml:space="preserve">Amortized at MA3's stated 12,000 units: Option A's effective footprint is 116.05 sq in per unit (102.375 material + 13.67 tooling-equivalent), Option B's is 123.96 sq in per unit (79.914 material + 44.05 tooling-equivalent — the pricier die dominates at this volume). Divided by the fixed 27 cubic inches of Wedge: A = 4.298 sq in/cu in, B = 4.591 sq in/cu in. Margin: 6.39%, Option A (the cheap-die box) wins — the option that feels wasteful in the room actually wins the graded number, at this volume.</w:t>
      </w:r>
    </w:p>
    <w:p>
      <w:pPr>
        <w:pStyle w:val="Heading1"/>
      </w:pPr>
      <w:r>
        <w:t xml:space="preserve">The Twist (drop at ~15 minutes)</w:t>
      </w:r>
    </w:p>
    <w:p>
      <w:r>
        <w:rPr>
          <w:i/>
          <w:iCs/>
        </w:rPr>
        <w:t xml:space="preserve">Marcus's manager comes back from the retail buyer's office and drops a signed contract on the table. “It's not a trial order. They want forty thousand units a year, guaranteed.”</w:t>
      </w:r>
    </w:p>
    <w:p>
      <w:r>
        <w:rPr>
          <w:i/>
          <w:iCs/>
        </w:rPr>
        <w:t xml:space="preserve">“And it changes something else, too,” the manager adds. “A trial order only ever bought us until the next production run — that's why MA3 only ever counted twelve thousand units. A signed annual contract is a different animal: they're not going to make us re-open the tooling conversation every eight weeks anymore. The next real re-tooling decision isn't the next production run. It's the next time this contract comes up for renewal — a full year out.”</w:t>
      </w:r>
    </w:p>
    <w:p>
      <w:r>
        <w:rPr>
          <w:i/>
          <w:iCs/>
        </w:rPr>
        <w:t xml:space="preserve">“Does that change what Marcus should approve tonight?”</w:t>
      </w:r>
    </w:p>
    <w:p>
      <w:r>
        <w:t xml:space="preserve">Say this reveal in full — both sentences, not just the volume. This is not a new rule sprung on the room; it is Appendix E's own stated definition of the re-tooling horizon (“whatever order volume Marcus's team can actually count on with confidence at the moment of the decision”), applied to a fact that just changed. Before tonight, the confidently-known volume was only the next 8-week production window (12,000 units), because there was no purchase commitment beyond that. Now that a signed, guaranteed annual PO exists, the confidently-known volume is the full 40,000 units the contract guarantees for the year — not a rate converted back down into the old 8-week window (which would give roughly 6,154 units and NOT flip the verdict — a sharp Hero may try this reading and should be told directly that Appendix E's horizon rule rules it out, not left to guess).</w:t>
      </w:r>
    </w:p>
    <w:p>
      <w:r>
        <w:rPr>
          <w:b/>
          <w:bCs/>
        </w:rPr>
        <w:t xml:space="preserve">What the numbers actually do:</w:t>
      </w:r>
    </w:p>
    <w:p>
      <w:r>
        <w:t xml:space="preserve">Re-running the same formula at 40,000 units instead of 12,000: Option A's tooling-equivalent per unit drops to 4.10 sq in, giving an effective footprint of 106.48 sq in and a metric of 3.944 sq in/cu in. Option B's tooling-equivalent drops to 13.22 sq in, giving an effective footprint of 93.13 sq in and a metric of 3.449 sq in/cu in. B = 3.449, A = 3.944 — Option B now wins by 12.54%. The twist fully reverses the verdict, not just erodes it, because the tooling gap that favored A at low volume shrinks faster (relative to the metric) than Option B's real material savings ever go away. Do not hand over why this happens unprompted; let a Hero who took Anchor 4's finding seriously (that MA3 is the most load-bearing assumption) reason toward exactly why: a bigger order volume spreads any tooling cost thinner, and once tooling stops dominating, the option with less wasted material and less net area was always going to win.</w:t>
      </w:r>
    </w:p>
    <w:p>
      <w:r>
        <w:rPr>
          <w:i/>
          <w:iCs/>
        </w:rPr>
        <w:t xml:space="preserve">Rejected reading, for reference: converting 40,000 units/year DOWN into the original 8-week window (40000 × 8/52 ≈ 6,154 units) does NOT flip the verdict — Option A wins by an even larger margin (22.18%) than the base case. This is exactly the reading Appendix E's horizon rule rules out, which is why the horizon rule had to be stated explicitly rather than left implicit.</w:t>
      </w:r>
    </w:p>
    <w:p>
      <w:pPr>
        <w:pStyle w:val="Heading1"/>
      </w:pPr>
      <w:r>
        <w:t xml:space="preserve">Socratic Questions</w:t>
      </w:r>
    </w:p>
    <w:p>
      <w:pPr>
        <w:pStyle w:val="ListParagraph"/>
        <w:numPr>
          <w:ilvl w:val="0"/>
          <w:numId w:val="2"/>
        </w:numPr>
      </w:pPr>
      <w:r>
        <w:t xml:space="preserve">Option B wastes about a third as much interior space as Option A (18.2% vs. 59.1%) but only uses about a fifth less material (22%). Why don't a shape's wasted-space percentage and its material-savings percentage have to move together, and what does that tell you about using one as a stand-in for the other?</w:t>
      </w:r>
    </w:p>
    <w:p>
      <w:pPr>
        <w:pStyle w:val="ListParagraph"/>
        <w:numPr>
          <w:ilvl w:val="0"/>
          <w:numId w:val="2"/>
        </w:numPr>
      </w:pPr>
      <w:r>
        <w:t xml:space="preserve">D1 asks you to reject four of six whiteboard candidates. Which property — face count, edge count, or the shape of the cross-section itself — actually does the rejecting, and would a different product shape (say, a cylindrical roll instead of a triangular wedge) reject a different four?</w:t>
      </w:r>
    </w:p>
    <w:p>
      <w:pPr>
        <w:pStyle w:val="ListParagraph"/>
        <w:numPr>
          <w:ilvl w:val="0"/>
          <w:numId w:val="2"/>
        </w:numPr>
      </w:pPr>
      <w:r>
        <w:t xml:space="preserve">The graded metric flips entirely once the order-volume assumption (MA3) climbs high enough — a range this bakery, at its current growth rate, could plausibly reach within a year. Does that make the case's margin a real finding, or a number with an expiration date?</w:t>
      </w:r>
    </w:p>
    <w:p>
      <w:pPr>
        <w:pStyle w:val="ListParagraph"/>
        <w:numPr>
          <w:ilvl w:val="0"/>
          <w:numId w:val="2"/>
        </w:numPr>
      </w:pPr>
      <w:r>
        <w:t xml:space="preserve">After the signed contract lands, the winner reverses to the other option by a bigger margin than the original comparison. Which of those two numbers would you want in front of you if you were the one signing the die-shop's invoice?</w:t>
      </w:r>
    </w:p>
    <w:p>
      <w:pPr>
        <w:pStyle w:val="ListParagraph"/>
        <w:numPr>
          <w:ilvl w:val="0"/>
          <w:numId w:val="2"/>
        </w:numPr>
      </w:pPr>
      <w:r>
        <w:t xml:space="preserve">Marcus has forty minutes and no second quote. What does he actually tell the die shop, and does the contract news change the honest answer, or just how confident he should sound giving it?</w:t>
      </w:r>
    </w:p>
    <w:p>
      <w:pPr>
        <w:pStyle w:val="Heading1"/>
      </w:pPr>
      <w:r>
        <w:t xml:space="preserve">The Trap</w:t>
      </w:r>
    </w:p>
    <w:p>
      <w:r>
        <w:t xml:space="preserve">Most Heroes will look at Option A's box — a wedge of visibly empty air above every slice — and conclude it must also use more cardboard, treating wasted interior volume as a stand-in for material used, because that is the intuitive read. The actual driver of material cost is the box's flat, unfolded net area, which does not move in lockstep with interior volume once the two shapes stop being similar. Watch for a pitch that computes "material cost" from either box's volume instead of running D3's net-area table — it has not actually done the geometry, and in this case the two numbers tell almost opposite stories about how lopsided the comparison really is.</w:t>
      </w:r>
    </w:p>
    <w:p>
      <w:pPr>
        <w:pStyle w:val="Heading1"/>
      </w:pPr>
      <w:r>
        <w:t xml:space="preserve">What a Strong Defense Sounds Like</w:t>
      </w:r>
    </w:p>
    <w:p>
      <w:r>
        <w:t xml:space="preserve">A strong defense keeps net area (D3) and wasted volume (D4) as two clearly separate measurements throughout, never substituting one for the other. It names all six whiteboard candidates correctly and gives a real geometric reason (not just a vibe) for rejecting the four that don't fit The Wedge's triangular cross-section. It treats Appendix E's three modeling assumptions as assumptions, not facts, and can say — before being asked — which one the verdict is most sensitive to (MA3, the order volume) and roughly where the crossover point is. When the Twist lands, a strong defense does not just report the new numbers; it explains why a larger amortization volume changes which cost dominates. There is no single correct final pick — a Hero who chooses A at 12,000 units with the reasoning above, or B while acknowledging the tooling tradeoff, is both defending well. What separates a strong defense from a weak one is whether the reasoning survives being asked "why," not which letter it lands on.</w:t>
      </w:r>
    </w:p>
    <w:p>
      <w:pPr>
        <w:pStyle w:val="Heading1"/>
      </w:pPr>
      <w:r>
        <w:t xml:space="preserve">Intro / Launch / Anchors (Socratic plan)</w:t>
      </w:r>
    </w:p>
    <w:p>
      <w:r>
        <w:rPr>
          <w:b/>
          <w:bCs/>
        </w:rPr>
        <w:t xml:space="preserve">Intro.</w:t>
      </w:r>
    </w:p>
    <w:p>
      <w:r>
        <w:t xml:space="preserve">Frame the format before anything else: this is a real tooling-commitment decision with no do-over — once the die shop starts cutting steel, that shape is locked in for the whole production run. Name the opener: "You have forty minutes and no second quote. Whichever box you approve is the one they cut steel for tomorrow." Let the stakes land before moving to the Launch.</w:t>
      </w:r>
    </w:p>
    <w:p>
      <w:r>
        <w:rPr>
          <w:b/>
          <w:bCs/>
        </w:rPr>
        <w:t xml:space="preserve">Launch.</w:t>
      </w:r>
    </w:p>
    <w:p>
      <w:r>
        <w:t xml:space="preserve">Show both mockups side by side (the plain rectangular box and the flat, uncut die pattern for the fitted wedge) with no numbers attached — just the shapes. Ask: "Just from looking at these, which one do you think uses more cardboard?" Do not confirm or correct answers here. Most rooms guess the plain rectangular box uses less cardboard because it looks simpler — that gut read is the trap, and it is worth recording out loud before anyone touches a calculator.</w:t>
      </w:r>
    </w:p>
    <w:p>
      <w:r>
        <w:rPr>
          <w:b/>
          <w:bCs/>
        </w:rPr>
        <w:t xml:space="preserve">Anchor 1 — Take a stand and vote.</w:t>
      </w:r>
    </w:p>
    <w:p>
      <w:r>
        <w:t xml:space="preserve">TAKE A STAND AND VOTE. No reasoning yet, just commit. "Is anyone courageous enough to stand with Marcus on The Fitted Wedge — the pricier, harder-to-cut box?" Show of hands, both options, no discussion. Record the count — Close will ask them to vote again.</w:t>
      </w:r>
    </w:p>
    <w:p>
      <w:r>
        <w:rPr>
          <w:b/>
          <w:bCs/>
        </w:rPr>
        <w:t xml:space="preserve">Anchor 2 — What is the problem we're solving?</w:t>
      </w:r>
    </w:p>
    <w:p>
      <w:r>
        <w:t xml:space="preserve">"Is this the right question?" · "What do you mean by 'wastes less'?" Let confusion grow here — this is deliberate. Heroes will want to jump straight to "which box looks like it wastes less space," but the case grades one specific number: square inches of cardboard net per cubic inch of Wedge shipped, tooling-amortized. Push on it: "Wasting less interior space and using less cardboard sound like the same thing. Are they?" If the room lands on "wasted volume and cardboard cost are two different measurements that don't have to move together" on its own, the case is working as designed.</w:t>
      </w:r>
    </w:p>
    <w:p>
      <w:r>
        <w:rPr>
          <w:b/>
          <w:bCs/>
        </w:rPr>
        <w:t xml:space="preserve">Anchor 3 — What is the process?</w:t>
      </w:r>
    </w:p>
    <w:p>
      <w:r>
        <w:t xml:space="preserve">"If we go through this process and find the data, how will we decide?" Once the room separates "wasted space" from "the graded number," ask them to name the actual steps before touching the appendices: correctly name all six whiteboard candidates and explain why four get rejected (D1), build a real dimensioned net for each surviving option (D2), compute net area from the net itself — not from volume (D3), compute wasted volume separately (D4), and only then combine net area with the amortized tooling cost (D5). Re-ask: "Is our question still the right one, now that we can see the steps?"</w:t>
      </w:r>
    </w:p>
    <w:p>
      <w:r>
        <w:rPr>
          <w:b/>
          <w:bCs/>
        </w:rPr>
        <w:t xml:space="preserve">Anchor 4 — What don't we know?</w:t>
      </w:r>
    </w:p>
    <w:p>
      <w:r>
        <w:t xml:space="preserve">"Do we need to make assumptions? Which ones are critical?" Surface the real gap honestly: Appendix E's three Modeling Assumptions (MA1 the simple-die cost, MA2 the complex-die cost, MA3 the expected order volume) are stated, not sourced — no public per-company die quote exists, and MA3 is a business forecast, not a fact. Ask which one changes the graded verdict if it moves. The honest answer is all three matter, but MA3 matters the most — the crossover point where the two options tie is only about 16,230 units, well within range of a number this bakery could plausibly hit. Let a sharp Hero find this themselves before confirming it — it is a genuine, useful finding, not a gotcha.</w:t>
      </w:r>
    </w:p>
    <w:p>
      <w:r>
        <w:rPr>
          <w:b/>
          <w:bCs/>
        </w:rPr>
        <w:t xml:space="preserve">Data Deep Dive.</w:t>
      </w:r>
    </w:p>
    <w:p>
      <w:r>
        <w:t xml:space="preserve">Now, and only now, the numbers. Walk D1's shape-naming, D2's net construction, D3's area-not-volume material table, D4's wasted-space table, and D5's combined comparison together as a room, cold-calling for D3 specifically — this is where a Hero who quietly computed material cost from each box's volume instead of its net area will visibly struggle to explain why their ratio doesn't match anyone else's, which is useful information for the facilitator, not a moment to rescue.</w:t>
      </w:r>
    </w:p>
    <w:p>
      <w:pPr>
        <w:pStyle w:val="Heading1"/>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1a3a5c" w:color="auto" w:val="clear"/>
          </w:tcPr>
          <w:p>
            <w:r>
              <w:rPr>
                <w:b/>
                <w:bCs/>
                <w:color w:val="FFFFFF"/>
              </w:rPr>
              <w:t xml:space="preserve">Time</w:t>
            </w:r>
          </w:p>
        </w:tc>
        <w:tc>
          <w:tcPr>
            <w:tcW w:type="dxa" w:w="7000"/>
            <w:shd w:fill="1a3a5c" w:color="auto" w:val="clear"/>
          </w:tcPr>
          <w:p>
            <w:r>
              <w:rPr>
                <w:b/>
                <w:bCs/>
                <w:color w:val="FFFFFF"/>
              </w:rPr>
              <w:t xml:space="preserve">Move</w:t>
            </w:r>
          </w:p>
        </w:tc>
      </w:tr>
      <w:tr>
        <w:tc>
          <w:tcPr>
            <w:tcW w:type="dxa" w:w="2000"/>
          </w:tcPr>
          <w:p>
            <w:r>
              <w:rPr>
                <w:b w:val="false"/>
                <w:bCs w:val="false"/>
              </w:rPr>
              <w:t xml:space="preserve">0:00–3:00</w:t>
            </w:r>
          </w:p>
        </w:tc>
        <w:tc>
          <w:tcPr>
            <w:tcW w:type="dxa" w:w="7000"/>
          </w:tcPr>
          <w:p>
            <w:r>
              <w:rPr>
                <w:b w:val="false"/>
                <w:bCs w:val="false"/>
              </w:rPr>
              <w:t xml:space="preserve">Launch — show both mockups, cold-call for a gut read, no formulas yet</w:t>
            </w:r>
          </w:p>
        </w:tc>
      </w:tr>
      <w:tr>
        <w:tc>
          <w:tcPr>
            <w:tcW w:type="dxa" w:w="2000"/>
          </w:tcPr>
          <w:p>
            <w:r>
              <w:rPr>
                <w:b w:val="false"/>
                <w:bCs w:val="false"/>
              </w:rPr>
              <w:t xml:space="preserve">3:00–10:00</w:t>
            </w:r>
          </w:p>
        </w:tc>
        <w:tc>
          <w:tcPr>
            <w:tcW w:type="dxa" w:w="7000"/>
          </w:tcPr>
          <w:p>
            <w:r>
              <w:rPr>
                <w:b w:val="false"/>
                <w:bCs w:val="false"/>
              </w:rPr>
              <w:t xml:space="preserve">Position defense — "Convince us the graded number is the number that matters"</w:t>
            </w:r>
          </w:p>
        </w:tc>
      </w:tr>
      <w:tr>
        <w:tc>
          <w:tcPr>
            <w:tcW w:type="dxa" w:w="2000"/>
          </w:tcPr>
          <w:p>
            <w:r>
              <w:rPr>
                <w:b w:val="false"/>
                <w:bCs w:val="false"/>
              </w:rPr>
              <w:t xml:space="preserve">10:00–15:00</w:t>
            </w:r>
          </w:p>
        </w:tc>
        <w:tc>
          <w:tcPr>
            <w:tcW w:type="dxa" w:w="7000"/>
          </w:tcPr>
          <w:p>
            <w:r>
              <w:rPr>
                <w:b w:val="false"/>
                <w:bCs w:val="false"/>
              </w:rPr>
              <w:t xml:space="preserve">Pressure-test the models — "Whose die-shape is most fragile to a bad assumption?"</w:t>
            </w:r>
          </w:p>
        </w:tc>
      </w:tr>
      <w:tr>
        <w:tc>
          <w:tcPr>
            <w:tcW w:type="dxa" w:w="2000"/>
          </w:tcPr>
          <w:p>
            <w:r>
              <w:rPr>
                <w:b w:val="false"/>
                <w:bCs w:val="false"/>
              </w:rPr>
              <w:t xml:space="preserve">15:00</w:t>
            </w:r>
          </w:p>
        </w:tc>
        <w:tc>
          <w:tcPr>
            <w:tcW w:type="dxa" w:w="7000"/>
          </w:tcPr>
          <w:p>
            <w:r>
              <w:rPr>
                <w:b w:val="false"/>
                <w:bCs w:val="false"/>
              </w:rPr>
              <w:t xml:space="preserve">DROP THE TWIST — the signed 40,000-unit contract, delivered slowly</w:t>
            </w:r>
          </w:p>
        </w:tc>
      </w:tr>
      <w:tr>
        <w:tc>
          <w:tcPr>
            <w:tcW w:type="dxa" w:w="2000"/>
          </w:tcPr>
          <w:p>
            <w:r>
              <w:rPr>
                <w:b w:val="false"/>
                <w:bCs w:val="false"/>
              </w:rPr>
              <w:t xml:space="preserve">15:00–20:00</w:t>
            </w:r>
          </w:p>
        </w:tc>
        <w:tc>
          <w:tcPr>
            <w:tcW w:type="dxa" w:w="7000"/>
          </w:tcPr>
          <w:p>
            <w:r>
              <w:rPr>
                <w:b w:val="false"/>
                <w:bCs w:val="false"/>
              </w:rPr>
              <w:t xml:space="preserve">Immediate recommit — who reverses, and why</w:t>
            </w:r>
          </w:p>
        </w:tc>
      </w:tr>
      <w:tr>
        <w:tc>
          <w:tcPr>
            <w:tcW w:type="dxa" w:w="2000"/>
          </w:tcPr>
          <w:p>
            <w:r>
              <w:rPr>
                <w:b w:val="false"/>
                <w:bCs w:val="false"/>
              </w:rPr>
              <w:t xml:space="preserve">20:00–30:00</w:t>
            </w:r>
          </w:p>
        </w:tc>
        <w:tc>
          <w:tcPr>
            <w:tcW w:type="dxa" w:w="7000"/>
          </w:tcPr>
          <w:p>
            <w:r>
              <w:rPr>
                <w:b w:val="false"/>
                <w:bCs w:val="false"/>
              </w:rPr>
              <w:t xml:space="preserve">Threaded deep conflict (waste vs. material; the forecast doing the real work; the trap revisited)</w:t>
            </w:r>
          </w:p>
        </w:tc>
      </w:tr>
      <w:tr>
        <w:tc>
          <w:tcPr>
            <w:tcW w:type="dxa" w:w="2000"/>
          </w:tcPr>
          <w:p>
            <w:r>
              <w:rPr>
                <w:b w:val="false"/>
                <w:bCs w:val="false"/>
              </w:rPr>
              <w:t xml:space="preserve">30:00–45:00</w:t>
            </w:r>
          </w:p>
        </w:tc>
        <w:tc>
          <w:tcPr>
            <w:tcW w:type="dxa" w:w="7000"/>
          </w:tcPr>
          <w:p>
            <w:r>
              <w:rPr>
                <w:b w:val="false"/>
                <w:bCs w:val="false"/>
              </w:rPr>
              <w:t xml:space="preserve">Close, re-vote, reflection, lessons learned</w:t>
            </w:r>
          </w:p>
        </w:tc>
      </w:tr>
    </w:tbl>
    <w:p>
      <w:pPr>
        <w:pStyle w:val="Heading1"/>
      </w:pPr>
      <w:r>
        <w:t xml:space="preserve">Deep Conflict — Three Threads (20-30 min)</w:t>
      </w:r>
    </w:p>
    <w:p>
      <w:pPr>
        <w:pStyle w:val="ListParagraph"/>
        <w:numPr>
          <w:ilvl w:val="0"/>
          <w:numId w:val="2"/>
        </w:numPr>
      </w:pPr>
      <w:r>
        <w:t xml:space="preserve">"Wastes less space" and "uses less material" are not the same claim. Option B wastes far less interior volume (18.2% vs. 59.1%) than it saves on material (22% less net area). Why don't those two numbers match, and which one should actually drive a packaging decision?</w:t>
      </w:r>
    </w:p>
    <w:p>
      <w:pPr>
        <w:pStyle w:val="ListParagraph"/>
        <w:numPr>
          <w:ilvl w:val="0"/>
          <w:numId w:val="2"/>
        </w:numPr>
      </w:pPr>
      <w:r>
        <w:t xml:space="preserve">A forecast is doing more work than either die quote. MA3's 12,000-unit estimate is the single most load-bearing number in this whole case — more than either die's price. Is it reasonable for a business decision to hinge harder on a volume guess than on a real quote?</w:t>
      </w:r>
    </w:p>
    <w:p>
      <w:pPr>
        <w:pStyle w:val="ListParagraph"/>
        <w:numPr>
          <w:ilvl w:val="0"/>
          <w:numId w:val="2"/>
        </w:numPr>
      </w:pPr>
      <w:r>
        <w:t xml:space="preserve">The trap that isn't really a trap. Once you know material cost tracks net area, not volume, is Option A's win at 12,000 units actually surprising — or does it only feel surprising because the room's gut instinct (Launch) was never checking the right number to begin with?</w:t>
      </w:r>
    </w:p>
    <w:p>
      <w:pPr>
        <w:pStyle w:val="Heading1"/>
      </w:pPr>
      <w:r>
        <w:t xml:space="preserve">Close</w:t>
      </w:r>
    </w:p>
    <w:p>
      <w:r>
        <w:t xml:space="preserve">VOTE AGAIN. "Did we ask the right question at the start?" "What math was new to you tonight, and how did you actually attack it?" Compare the closing vote to Anchor 1's — a room that voted for B at Anchor 1 purely on "it looks like it wastes less" and stays with B after the twist for a different, numbers-based reason has genuinely moved, even if the vote count looks unchanged.</w:t>
      </w:r>
    </w:p>
    <w:p>
      <w:pPr>
        <w:pStyle w:val="Heading1"/>
      </w:pPr>
      <w:r>
        <w:t xml:space="preserve">Skills This Case Exercises</w:t>
      </w:r>
    </w:p>
    <w:p>
      <w:r>
        <w:t xml:space="preserve">Name these directly in debrief so Heroes connect the case back to the standards it closes:</w:t>
      </w:r>
    </w:p>
    <w:p>
      <w:pPr>
        <w:pStyle w:val="ListParagraph"/>
        <w:numPr>
          <w:ilvl w:val="0"/>
          <w:numId w:val="2"/>
        </w:numPr>
      </w:pPr>
      <w:r>
        <w:t xml:space="preserve">Net, Face, Edge, Pyramid, Prism, Cone, Cylinder, Sphere (3-D shape identification and vocabulary)</w:t>
      </w:r>
    </w:p>
    <w:p>
      <w:pPr>
        <w:pStyle w:val="ListParagraph"/>
        <w:numPr>
          <w:ilvl w:val="0"/>
          <w:numId w:val="2"/>
        </w:numPr>
      </w:pPr>
      <w:r>
        <w:t xml:space="preserve">How to name a 3-D shape</w:t>
      </w:r>
    </w:p>
    <w:p>
      <w:pPr>
        <w:pStyle w:val="ListParagraph"/>
        <w:numPr>
          <w:ilvl w:val="0"/>
          <w:numId w:val="2"/>
        </w:numPr>
      </w:pPr>
      <w:r>
        <w:t xml:space="preserve">How to draw the net of a 3-D shape</w:t>
      </w:r>
    </w:p>
    <w:p>
      <w:pPr>
        <w:pStyle w:val="ListParagraph"/>
        <w:numPr>
          <w:ilvl w:val="0"/>
          <w:numId w:val="2"/>
        </w:numPr>
      </w:pPr>
      <w:r>
        <w:t xml:space="preserve">Surface Area, Volume, Depth (measurement vocabulary)</w:t>
      </w:r>
    </w:p>
    <w:p>
      <w:pPr>
        <w:pStyle w:val="ListParagraph"/>
        <w:numPr>
          <w:ilvl w:val="0"/>
          <w:numId w:val="2"/>
        </w:numPr>
      </w:pPr>
      <w:r>
        <w:t xml:space="preserve">How to find the surface area of a prism</w:t>
      </w:r>
    </w:p>
    <w:p>
      <w:pPr>
        <w:pStyle w:val="ListParagraph"/>
        <w:numPr>
          <w:ilvl w:val="0"/>
          <w:numId w:val="2"/>
        </w:numPr>
      </w:pPr>
      <w:r>
        <w:t xml:space="preserve">How to find the volume of a prism</w:t>
      </w:r>
    </w:p>
    <w:p>
      <w:pPr>
        <w:pStyle w:val="ListParagraph"/>
        <w:numPr>
          <w:ilvl w:val="0"/>
          <w:numId w:val="2"/>
        </w:numPr>
      </w:pPr>
      <w:r>
        <w:t xml:space="preserve">How to find the percent of a number</w:t>
      </w:r>
    </w:p>
    <w:p>
      <w:r>
        <w:rPr>
          <w:i/>
          <w:iCs/>
        </w:rPr>
        <w:t xml:space="preserve">Standards closed: Geometry / Surface Area And Volume (10 skills touched, all already covered elsewhere) plus Number Sense / Measurement And Data ("number-sense-depth" — this case's one true new_coverage skill, n=0 before this case).</w:t>
      </w:r>
    </w:p>
    <w:p>
      <w:pPr>
        <w:pStyle w:val="Heading1"/>
      </w:pPr>
      <w:r>
        <w:t xml:space="preserve">Cohort-Size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a3a5c" w:color="auto" w:val="clear"/>
          </w:tcPr>
          <w:p>
            <w:r>
              <w:rPr>
                <w:b/>
                <w:bCs/>
                <w:color w:val="FFFFFF"/>
              </w:rPr>
              <w:t xml:space="preserve">Band</w:t>
            </w:r>
          </w:p>
        </w:tc>
        <w:tc>
          <w:tcPr>
            <w:tcW w:type="dxa" w:w="6500"/>
            <w:shd w:fill="1a3a5c" w:color="auto" w:val="clear"/>
          </w:tcPr>
          <w:p>
            <w:r>
              <w:rPr>
                <w:b/>
                <w:bCs/>
                <w:color w:val="FFFFFF"/>
              </w:rPr>
              <w:t xml:space="preserve">Note</w:t>
            </w:r>
          </w:p>
        </w:tc>
      </w:tr>
      <w:tr>
        <w:tc>
          <w:tcPr>
            <w:tcW w:type="dxa" w:w="2500"/>
          </w:tcPr>
          <w:p>
            <w:r>
              <w:rPr>
                <w:b w:val="false"/>
                <w:bCs w:val="false"/>
              </w:rPr>
              <w:t xml:space="preserve">Full (12-20)</w:t>
            </w:r>
          </w:p>
        </w:tc>
        <w:tc>
          <w:tcPr>
            <w:tcW w:type="dxa" w:w="6500"/>
          </w:tcPr>
          <w:p>
            <w:r>
              <w:rPr>
                <w:b w:val="false"/>
                <w:bCs w:val="false"/>
              </w:rPr>
              <w:t xml:space="preserve">Socratic plan and anchor timings run as written above (0:00-45:00).</w:t>
            </w:r>
          </w:p>
        </w:tc>
      </w:tr>
      <w:tr>
        <w:tc>
          <w:tcPr>
            <w:tcW w:type="dxa" w:w="2500"/>
          </w:tcPr>
          <w:p>
            <w:r>
              <w:rPr>
                <w:b w:val="false"/>
                <w:bCs w:val="false"/>
              </w:rPr>
              <w:t xml:space="preserve">Compressed (6-11)</w:t>
            </w:r>
          </w:p>
        </w:tc>
        <w:tc>
          <w:tcPr>
            <w:tcW w:type="dxa" w:w="6500"/>
          </w:tcPr>
          <w:p>
            <w:r>
              <w:rPr>
                <w:b w:val="false"/>
                <w:bCs w:val="false"/>
              </w:rPr>
              <w:t xml:space="preserve">Anchors 2 and 3 combine into one pass. Run only one deep-conflict thread at 20:00-30:00. Twist still drops at 15:00. Total runtime ~30 min.</w:t>
            </w:r>
          </w:p>
        </w:tc>
      </w:tr>
      <w:tr>
        <w:tc>
          <w:tcPr>
            <w:tcW w:type="dxa" w:w="2500"/>
          </w:tcPr>
          <w:p>
            <w:r>
              <w:rPr>
                <w:b w:val="false"/>
                <w:bCs w:val="false"/>
              </w:rPr>
              <w:t xml:space="preserve">1:1 or pair (1-2)</w:t>
            </w:r>
          </w:p>
        </w:tc>
        <w:tc>
          <w:tcPr>
            <w:tcW w:type="dxa" w:w="6500"/>
          </w:tcPr>
          <w:p>
            <w:r>
              <w:rPr>
                <w:b w:val="false"/>
                <w:bCs w:val="false"/>
              </w:rPr>
              <w:t xml:space="preserve">No vote at Anchor 1 — the learner states an initial position instead. Skip the deep-conflict threads; go straight from twist-recommit to Close.</w:t>
            </w:r>
          </w:p>
        </w:tc>
      </w:tr>
    </w:tbl>
    <w:p>
      <w:pPr>
        <w:pStyle w:val="Heading1"/>
      </w:pPr>
      <w:r>
        <w:t xml:space="preserve">Lessons Learned</w:t>
      </w:r>
    </w:p>
    <w:p>
      <w:r>
        <w:rPr>
          <w:i/>
          <w:iCs/>
        </w:rPr>
        <w:t xml:space="preserve">(To be filled after the first real run — placeholder structure only.)</w:t>
      </w:r>
    </w:p>
    <w:p>
      <w:pPr>
        <w:pStyle w:val="ListParagraph"/>
        <w:numPr>
          <w:ilvl w:val="0"/>
          <w:numId w:val="2"/>
        </w:numPr>
      </w:pPr>
      <w:r>
        <w:t xml:space="preserve">Whether Anchor 4's "MA3 is the most load-bearing assumption" finding landed as a discovery or had to be told outright.</w:t>
      </w:r>
    </w:p>
    <w:p>
      <w:pPr>
        <w:pStyle w:val="ListParagraph"/>
        <w:numPr>
          <w:ilvl w:val="0"/>
          <w:numId w:val="2"/>
        </w:numPr>
      </w:pPr>
      <w:r>
        <w:t xml:space="preserve">Whether the "wasted space is not the same as material used" trap was the actual sticking point, or whether D1's shape-naming was the harder gate for most Heroes.</w:t>
      </w:r>
    </w:p>
    <w:p>
      <w:pPr>
        <w:pStyle w:val="ListParagraph"/>
        <w:numPr>
          <w:ilvl w:val="0"/>
          <w:numId w:val="2"/>
        </w:numPr>
      </w:pPr>
      <w:r>
        <w:t xml:space="preserve">Whether the twist's full flip (not just an erosion) felt earned or felt like the case moving the goalposts — worth listening for directly.</w:t>
      </w:r>
    </w:p>
    <w:p>
      <w:pPr>
        <w:pStyle w:val="Heading1"/>
      </w:pPr>
      <w:r>
        <w:t xml:space="preserve">Facilitator Note — Sensitivity (Personal/Emotional)</w:t>
      </w:r>
    </w:p>
    <w:p>
      <w:r>
        <w:t xml:space="preserve">None required (SPEC section 6) — the stakes here are a business tooling decision and a production deadline, not personal loss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2026-09-06T12:20:31.969Z</dcterms:created>
  <dcterms:modified xsi:type="dcterms:W3CDTF">2026-09-06T12:20:31.975Z</dcterms:modified>
</cp:coreProperties>
</file>

<file path=docProps/custom.xml><?xml version="1.0" encoding="utf-8"?>
<Properties xmlns="http://schemas.openxmlformats.org/officeDocument/2006/custom-properties" xmlns:vt="http://schemas.openxmlformats.org/officeDocument/2006/docPropsVTypes"/>
</file>