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1a3a5c"/>
          <w:sz w:val="40"/>
          <w:szCs w:val="40"/>
        </w:rPr>
        <w:t xml:space="preserve">Case Study: The Deep End</w:t>
      </w:r>
    </w:p>
    <w:p>
      <w:pPr>
        <w:spacing w:after="300"/>
        <w:jc w:val="center"/>
      </w:pPr>
      <w:r>
        <w:rPr>
          <w:i/>
          <w:iCs/>
          <w:color w:val="5b6472"/>
          <w:sz w:val="20"/>
          <w:szCs w:val="20"/>
        </w:rPr>
        <w:t xml:space="preserve">MS | Math | Case Study | 2026-27 | Adventure</w:t>
      </w:r>
    </w:p>
    <w:p>
      <w:pPr>
        <w:pStyle w:val="Heading2"/>
        <w:spacing w:after="120" w:before="220"/>
      </w:pPr>
      <w:r>
        <w:rPr>
          <w:b/>
          <w:bCs/>
          <w:color w:val="1a3a5c"/>
          <w:sz w:val="26"/>
          <w:szCs w:val="26"/>
        </w:rPr>
        <w:t xml:space="preserve">Overview</w:t>
      </w:r>
    </w:p>
    <w:p>
      <w:pPr>
        <w:spacing w:after="160"/>
      </w:pPr>
      <w:r>
        <w:t xml:space="preserve">The folding chairs are still being set up when Carla Whitfield gets to the podium early, just to have somewhere to put her hands. Behind her, taped to a corkboard, are two architect's renderings — one shows a diving board over dark blue water, the other a gently sloped beach-like entrance with a handrail. Someone in the third row is already holding up a sign.</w:t>
      </w:r>
    </w:p>
    <w:p>
      <w:pPr>
        <w:spacing w:after="160"/>
      </w:pPr>
      <w:r>
        <w:t xml:space="preserve">A dad in a swim-team windbreaker leans toward the aisle. "My daughter's qualified for regionals twice out of that deep end," he says, loud enough for the room. Two rows back, a woman in a wheelchair raises her hand before Carla even opens the floor. "I have not been able to get into that pool by myself in six years," she says. "Not once."</w:t>
      </w:r>
    </w:p>
    <w:p>
      <w:pPr>
        <w:spacing w:after="160"/>
      </w:pPr>
      <w:r>
        <w:t xml:space="preserve">Carla's phone buzzes on the podium — a text from the city's ADA compliance officer, checking that she has the accessibility guidelines pulled up. She does. She also has both companies' bid packets, a stack of specs, and eleven minutes before the council chair calls the meeting to order.</w:t>
      </w:r>
    </w:p>
    <w:p>
      <w:pPr>
        <w:spacing w:after="160"/>
      </w:pPr>
      <w:r>
        <w:t xml:space="preserve">Everyone in this room is going to leave believing they're right. Carla's job is not to decide who deserves the pool more. It's to find the number that tells her which design actually puts more supervised swim time in front of the people who will use it — and she has to have it before the gavel comes down.</w:t>
      </w:r>
    </w:p>
    <w:p>
      <w:pPr>
        <w:pStyle w:val="Heading2"/>
        <w:spacing w:after="120" w:before="220"/>
      </w:pPr>
      <w:r>
        <w:rPr>
          <w:b/>
          <w:bCs/>
          <w:color w:val="1a3a5c"/>
          <w:sz w:val="26"/>
          <w:szCs w:val="26"/>
        </w:rPr>
        <w:t xml:space="preserve">Background</w:t>
      </w:r>
    </w:p>
    <w:p>
      <w:pPr>
        <w:spacing w:after="160"/>
      </w:pPr>
      <w:r>
        <w:t xml:space="preserve">Carla Whitfield is the director of the only public pool in a mid-size city, and it is closing in two weeks for a full rebuild. The city council will vote at that meeting on which of two finalist designs to build, and whichever the council picks, that is what gets built — there is no third option, no phased compromise, and no money in the budget to revisit the decision later.</w:t>
      </w:r>
    </w:p>
    <w:p>
      <w:pPr>
        <w:spacing w:after="160"/>
      </w:pPr>
      <w:r>
        <w:rPr>
          <w:b w:val="false"/>
          <w:bCs w:val="false"/>
        </w:rPr>
        <w:t xml:space="preserve">The two finalist designs have become known around town by their nicknames: the Deep-End Design and the Zero-Entry Ramp Design.</w:t>
      </w:r>
    </w:p>
    <w:p>
      <w:pPr>
        <w:spacing w:after="160"/>
      </w:pPr>
      <w:r>
        <w:t xml:space="preserve">The Deep-End Design keeps a single, uniform-depth diving well at the deep end of the pool, monitored by a digital depth gauge mounted at three points along the pool deck. That gauge reports depth only in whole feet (SEE APPENDIX A) — the display simply does not show a fraction of a foot, so every posted reading a swimmer or lifeguard sees is a whole number. City safety policy requires the whole facility to close to general supervised swimming whenever the swim team is using the diving well for organized practice, because the same lifeguard staff cannot safely watch both the diving well and the rest of the pool at once (SEE APPENDIX A).</w:t>
      </w:r>
    </w:p>
    <w:p>
      <w:pPr>
        <w:spacing w:after="160"/>
      </w:pPr>
      <w:r>
        <w:t xml:space="preserve">The Zero-Entry Ramp Design replaces the diving well with a gradually sloped entry — no steps, no ladder — that lets a swimmer, a stroller, or a wheelchair roll straight into the water. Because the slope has to descend gradually rather than dropping straight down, the posted depth markers along the ramp are set closer together and are read to the nearest tenth of a foot, not the nearest whole foot (SEE APPENDIX B). The ramp design does not reserve any block of time for exclusive team use, so the facility's full schedule of supervised hours is open to any swimmer under this design (SEE APPENDIX B).</w:t>
      </w:r>
    </w:p>
    <w:p>
      <w:pPr>
        <w:spacing w:after="160"/>
      </w:pPr>
      <w:r>
        <w:t xml:space="preserve">Both designs must be built inside the same 30-foot-wide pool basin the city has already excavated and permitted — that width cannot change under either design (SEE APPENDIX C). Every other figure Carla is working from — the reserved-hours policy, the two footprints, and the facility's weekly schedule — is a modeling assumption stated in the open (SEE APPENDIX C), because no engineering drawing has been finalized for either design yet. For optional background reading on why supervised access matters and what federal accessibility guidance actually requires, not required for any Challenge, SEE APPENDIX D. All figures in this case are sourced in (SEE APPENDIX E).</w:t>
      </w:r>
    </w:p>
    <w:p>
      <w:pPr>
        <w:spacing w:after="160"/>
      </w:pPr>
      <w:r>
        <w:t xml:space="preserve">The vocabulary and "how to…" skills this case will ask of you are listed in Appendix F — that is where Challenge 1 sends you.</w:t>
      </w:r>
    </w:p>
    <w:p>
      <w:pPr>
        <w:pStyle w:val="Heading2"/>
        <w:spacing w:after="120" w:before="220"/>
      </w:pPr>
      <w:r>
        <w:rPr>
          <w:b/>
          <w:bCs/>
          <w:color w:val="1a3a5c"/>
          <w:sz w:val="26"/>
          <w:szCs w:val="26"/>
        </w:rPr>
        <w:t xml:space="preserve">Dilemma</w:t>
      </w:r>
    </w:p>
    <w:p>
      <w:pPr>
        <w:spacing w:after="160"/>
      </w:pPr>
      <w:r>
        <w:t xml:space="preserve">You are Carla Whitfield.</w:t>
      </w:r>
    </w:p>
    <w:p>
      <w:pPr>
        <w:spacing w:after="160"/>
      </w:pPr>
      <w:r>
        <w:t xml:space="preserve">Do you:</w:t>
      </w:r>
    </w:p>
    <w:p>
      <w:pPr>
        <w:spacing w:after="160"/>
      </w:pPr>
      <w:r>
        <w:rPr>
          <w:b/>
          <w:bCs/>
        </w:rPr>
        <w:t xml:space="preserve">A.) </w:t>
      </w:r>
      <w:r>
        <w:t xml:space="preserve">Recommend the Deep-End Design — a single 8-foot diving well, read off a digital depth gauge in whole feet, with dedicated swim-team practice time </w:t>
      </w:r>
      <w:r>
        <w:rPr>
          <w:b/>
          <w:bCs/>
        </w:rPr>
        <w:t xml:space="preserve">OR</w:t>
      </w:r>
    </w:p>
    <w:p>
      <w:pPr>
        <w:spacing w:after="160"/>
      </w:pPr>
      <w:r>
        <w:rPr>
          <w:b/>
          <w:bCs/>
        </w:rPr>
        <w:t xml:space="preserve">B.) </w:t>
      </w:r>
      <w:r>
        <w:t xml:space="preserve">Recommend the Zero-Entry Ramp Design — a gradually sloped entry read in tenths of a foot, open to every supervised swimmer at every scheduled hour</w:t>
      </w:r>
    </w:p>
    <w:p>
      <w:pPr>
        <w:pStyle w:val="Heading2"/>
        <w:spacing w:after="120" w:before="220"/>
      </w:pPr>
      <w:r>
        <w:rPr>
          <w:b/>
          <w:bCs/>
          <w:color w:val="1a3a5c"/>
          <w:sz w:val="26"/>
          <w:szCs w:val="26"/>
        </w:rPr>
        <w:t xml:space="preserve">Challenges</w:t>
      </w:r>
    </w:p>
    <w:p>
      <w:pPr>
        <w:pStyle w:val="ListParagraph"/>
        <w:numPr>
          <w:ilvl w:val="0"/>
          <w:numId w:val="2"/>
        </w:numPr>
        <w:spacing w:after="120"/>
      </w:pPr>
      <w:r>
        <w:t xml:space="preserve">Research and find an online resource that answers one of the "how to…" questions from the case study launch. Post a link to the resource as your submission.</w:t>
      </w:r>
    </w:p>
    <w:p>
      <w:pPr>
        <w:pStyle w:val="ListParagraph"/>
        <w:numPr>
          <w:ilvl w:val="0"/>
          <w:numId w:val="2"/>
        </w:numPr>
        <w:spacing w:after="120"/>
      </w:pPr>
      <w:r>
        <w:t xml:space="preserve">Post 250 or more "excellent" words pitching a firm stance to your audience on which you would choose and why. Your pitch must include: a.) Use of the "how to…" resource you researched in Challenge 1. b.) At least one original visual display of the data.</w:t>
      </w:r>
    </w:p>
    <w:p>
      <w:pPr>
        <w:pStyle w:val="ListParagraph"/>
        <w:numPr>
          <w:ilvl w:val="0"/>
          <w:numId w:val="2"/>
        </w:numPr>
        <w:spacing w:after="120"/>
      </w:pPr>
      <w:r>
        <w:t xml:space="preserve">Your pitch must include:</w:t>
      </w:r>
    </w:p>
    <w:p>
      <w:pPr>
        <w:pStyle w:val="ListParagraph"/>
        <w:numPr>
          <w:ilvl w:val="0"/>
          <w:numId w:val="3"/>
        </w:numPr>
        <w:spacing w:after="100"/>
      </w:pPr>
      <w:r>
        <w:t xml:space="preserve">D1 — A depth-reading table for the Deep-End Design, recording the digital gauge's three posted readings from Appendix A exactly as the gauge displays them (whole feet only), with the pool's maximum depth clearly labeled.</w:t>
      </w:r>
    </w:p>
    <w:p>
      <w:pPr>
        <w:pStyle w:val="ListParagraph"/>
        <w:numPr>
          <w:ilvl w:val="0"/>
          <w:numId w:val="3"/>
        </w:numPr>
        <w:spacing w:after="100"/>
      </w:pPr>
      <w:r>
        <w:t xml:space="preserve">D2 — A depth-and-digit table for the Zero-Entry Ramp Design, recording all five posted ramp markers from Appendix B to the nearest tenth of a foot, and for each one, naming the digit in the tenths place and stating what that digit means in real-world terms (how much of a foot it represents).</w:t>
      </w:r>
    </w:p>
    <w:p>
      <w:pPr>
        <w:pStyle w:val="ListParagraph"/>
        <w:numPr>
          <w:ilvl w:val="0"/>
          <w:numId w:val="3"/>
        </w:numPr>
        <w:spacing w:after="100"/>
      </w:pPr>
      <w:r>
        <w:t xml:space="preserve">D3 — A supervised swim-hours-per-square-foot comparison table for both designs, using the weekly accessible hours and footprint figures in Appendix C, with a one-paragraph recommendation stating which design delivers more supervised swim-hours to the facility's actual user base for the amount of pool footprint it uses.</w:t>
      </w:r>
    </w:p>
    <w:p>
      <w:pPr>
        <w:pStyle w:val="ListParagraph"/>
        <w:numPr>
          <w:ilvl w:val="0"/>
          <w:numId w:val="2"/>
        </w:numPr>
        <w:spacing w:after="120"/>
      </w:pPr>
      <w:r>
        <w:t xml:space="preserve">An appendix showing evidence of your original thinking, work, calculations and processes you used to complete the challenges (pictures, screenshots, notes, etc.). Your work in the appendix does not count toward your word count.</w:t>
      </w:r>
    </w:p>
    <w:p>
      <w:pPr>
        <w:pStyle w:val="ListParagraph"/>
        <w:numPr>
          <w:ilvl w:val="0"/>
          <w:numId w:val="2"/>
        </w:numPr>
        <w:spacing w:after="120"/>
      </w:pPr>
      <w:r>
        <w:rPr>
          <w:i/>
          <w:iCs/>
        </w:rPr>
        <w:t xml:space="preserve">Participate twice or more in the Case Study discussion. If you are absent the day of a discussion post 500 "excellent" words on the questions above.</w:t>
      </w:r>
    </w:p>
    <w:p>
      <w:pPr>
        <w:pStyle w:val="Heading2"/>
        <w:spacing w:after="120" w:before="220"/>
      </w:pPr>
      <w:r>
        <w:rPr>
          <w:b/>
          <w:bCs/>
          <w:color w:val="1a3a5c"/>
          <w:sz w:val="26"/>
          <w:szCs w:val="26"/>
        </w:rPr>
        <w:t xml:space="preserve">Appendix A: The Deep-End Design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400"/>
        <w:gridCol w:w="4700"/>
      </w:tblGrid>
      <w:tr>
        <w:trPr>
          <w:tblHeader/>
        </w:trPr>
        <w:tc>
          <w:tcPr>
            <w:tcW w:type="dxa" w:w="5400"/>
            <w:shd w:fill="1a3a5c" w:val="clear"/>
            <w:tcMar>
              <w:top w:type="dxa" w:w="80"/>
              <w:left w:type="dxa" w:w="100"/>
              <w:bottom w:type="dxa" w:w="80"/>
              <w:right w:type="dxa" w:w="100"/>
            </w:tcMar>
          </w:tcPr>
          <w:p>
            <w:r>
              <w:rPr>
                <w:b/>
                <w:bCs/>
                <w:color w:val="FFFFFF"/>
                <w:sz w:val="20"/>
                <w:szCs w:val="20"/>
              </w:rPr>
              <w:t xml:space="preserve"/>
            </w:r>
          </w:p>
        </w:tc>
        <w:tc>
          <w:tcPr>
            <w:tcW w:type="dxa" w:w="4700"/>
            <w:shd w:fill="1a3a5c" w:val="clear"/>
            <w:tcMar>
              <w:top w:type="dxa" w:w="80"/>
              <w:left w:type="dxa" w:w="100"/>
              <w:bottom w:type="dxa" w:w="80"/>
              <w:right w:type="dxa" w:w="100"/>
            </w:tcMar>
          </w:tcPr>
          <w:p>
            <w:r>
              <w:rPr>
                <w:b/>
                <w:bCs/>
                <w:color w:val="FFFFFF"/>
                <w:sz w:val="20"/>
                <w:szCs w:val="20"/>
              </w:rPr>
              <w:t xml:space="preserve">Value</w:t>
            </w:r>
          </w:p>
        </w:tc>
      </w:tr>
      <w:tr>
        <w:tc>
          <w:tcPr>
            <w:tcW w:type="dxa" w:w="5400"/>
            <w:tcMar>
              <w:top w:type="dxa" w:w="80"/>
              <w:left w:type="dxa" w:w="100"/>
              <w:bottom w:type="dxa" w:w="80"/>
              <w:right w:type="dxa" w:w="100"/>
            </w:tcMar>
          </w:tcPr>
          <w:p>
            <w:r>
              <w:rPr>
                <w:b w:val="false"/>
                <w:bCs w:val="false"/>
                <w:color w:val="000000"/>
                <w:sz w:val="20"/>
                <w:szCs w:val="20"/>
              </w:rPr>
              <w:t xml:space="preserve">Design</w:t>
            </w:r>
          </w:p>
        </w:tc>
        <w:tc>
          <w:tcPr>
            <w:tcW w:type="dxa" w:w="4700"/>
            <w:tcMar>
              <w:top w:type="dxa" w:w="80"/>
              <w:left w:type="dxa" w:w="100"/>
              <w:bottom w:type="dxa" w:w="80"/>
              <w:right w:type="dxa" w:w="100"/>
            </w:tcMar>
          </w:tcPr>
          <w:p>
            <w:r>
              <w:rPr>
                <w:b w:val="false"/>
                <w:bCs w:val="false"/>
                <w:color w:val="000000"/>
                <w:sz w:val="20"/>
                <w:szCs w:val="20"/>
              </w:rPr>
              <w:t xml:space="preserve">Single 8-ft diving well, uniform-depth deep end</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Digital gauge reading — shallow end</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4 feet</w:t>
            </w:r>
          </w:p>
        </w:tc>
      </w:tr>
      <w:tr>
        <w:tc>
          <w:tcPr>
            <w:tcW w:type="dxa" w:w="5400"/>
            <w:tcMar>
              <w:top w:type="dxa" w:w="80"/>
              <w:left w:type="dxa" w:w="100"/>
              <w:bottom w:type="dxa" w:w="80"/>
              <w:right w:type="dxa" w:w="100"/>
            </w:tcMar>
          </w:tcPr>
          <w:p>
            <w:r>
              <w:rPr>
                <w:b w:val="false"/>
                <w:bCs w:val="false"/>
                <w:color w:val="000000"/>
                <w:sz w:val="20"/>
                <w:szCs w:val="20"/>
              </w:rPr>
              <w:t xml:space="preserve">Digital gauge reading — mid-pool</w:t>
            </w:r>
          </w:p>
        </w:tc>
        <w:tc>
          <w:tcPr>
            <w:tcW w:type="dxa" w:w="4700"/>
            <w:tcMar>
              <w:top w:type="dxa" w:w="80"/>
              <w:left w:type="dxa" w:w="100"/>
              <w:bottom w:type="dxa" w:w="80"/>
              <w:right w:type="dxa" w:w="100"/>
            </w:tcMar>
          </w:tcPr>
          <w:p>
            <w:r>
              <w:rPr>
                <w:b w:val="false"/>
                <w:bCs w:val="false"/>
                <w:color w:val="000000"/>
                <w:sz w:val="20"/>
                <w:szCs w:val="20"/>
              </w:rPr>
              <w:t xml:space="preserve">6 feet</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Digital gauge reading — diving well (maximum depth)</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8 feet</w:t>
            </w:r>
          </w:p>
        </w:tc>
      </w:tr>
      <w:tr>
        <w:tc>
          <w:tcPr>
            <w:tcW w:type="dxa" w:w="5400"/>
            <w:tcMar>
              <w:top w:type="dxa" w:w="80"/>
              <w:left w:type="dxa" w:w="100"/>
              <w:bottom w:type="dxa" w:w="80"/>
              <w:right w:type="dxa" w:w="100"/>
            </w:tcMar>
          </w:tcPr>
          <w:p>
            <w:r>
              <w:rPr>
                <w:b w:val="false"/>
                <w:bCs w:val="false"/>
                <w:color w:val="000000"/>
                <w:sz w:val="20"/>
                <w:szCs w:val="20"/>
              </w:rPr>
              <w:t xml:space="preserve">Pool basin footprint</w:t>
            </w:r>
          </w:p>
        </w:tc>
        <w:tc>
          <w:tcPr>
            <w:tcW w:type="dxa" w:w="4700"/>
            <w:tcMar>
              <w:top w:type="dxa" w:w="80"/>
              <w:left w:type="dxa" w:w="100"/>
              <w:bottom w:type="dxa" w:w="80"/>
              <w:right w:type="dxa" w:w="100"/>
            </w:tcMar>
          </w:tcPr>
          <w:p>
            <w:r>
              <w:rPr>
                <w:b w:val="false"/>
                <w:bCs w:val="false"/>
                <w:color w:val="000000"/>
                <w:sz w:val="20"/>
                <w:szCs w:val="20"/>
              </w:rPr>
              <w:t xml:space="preserve">2,700 square feet [MA2] (stated modeling assumption — see Appendix C)</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Weekly hours reserved for exclusive swim-team/diving practice (facility closed to general supervised swimming)</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18 hours/week [MA1] (stated modeling assumption — see Appendix C)</w:t>
            </w:r>
          </w:p>
        </w:tc>
      </w:tr>
      <w:tr>
        <w:tc>
          <w:tcPr>
            <w:tcW w:type="dxa" w:w="5400"/>
            <w:tcMar>
              <w:top w:type="dxa" w:w="80"/>
              <w:left w:type="dxa" w:w="100"/>
              <w:bottom w:type="dxa" w:w="80"/>
              <w:right w:type="dxa" w:w="100"/>
            </w:tcMar>
          </w:tcPr>
          <w:p>
            <w:r>
              <w:rPr>
                <w:b w:val="false"/>
                <w:bCs w:val="false"/>
                <w:color w:val="000000"/>
                <w:sz w:val="20"/>
                <w:szCs w:val="20"/>
              </w:rPr>
              <w:t xml:space="preserve">Facility's total weekly scheduled supervised-swim hours</w:t>
            </w:r>
          </w:p>
        </w:tc>
        <w:tc>
          <w:tcPr>
            <w:tcW w:type="dxa" w:w="4700"/>
            <w:tcMar>
              <w:top w:type="dxa" w:w="80"/>
              <w:left w:type="dxa" w:w="100"/>
              <w:bottom w:type="dxa" w:w="80"/>
              <w:right w:type="dxa" w:w="100"/>
            </w:tcMar>
          </w:tcPr>
          <w:p>
            <w:r>
              <w:rPr>
                <w:b w:val="false"/>
                <w:bCs w:val="false"/>
                <w:color w:val="000000"/>
                <w:sz w:val="20"/>
                <w:szCs w:val="20"/>
              </w:rPr>
              <w:t xml:space="preserve">63 hours/week [MA1] (stated modeling assumption — see Appendix C)</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Weekly hours accessible to the general supervised user base</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63 − 18 = 45 hours/week</w:t>
            </w:r>
          </w:p>
        </w:tc>
      </w:tr>
    </w:tbl>
    <w:p>
      <w:pPr>
        <w:spacing w:after="160"/>
      </w:pPr>
      <w:r>
        <w:rPr>
          <w:i/>
          <w:iCs/>
          <w:color w:val="5b6472"/>
          <w:sz w:val="18"/>
          <w:szCs w:val="18"/>
        </w:rPr>
        <w:t xml:space="preserve">The digital gauge display at this facility has no decimal digit — every reading it shows is a whole number of feet, by design, since the deep end is a single fixed depth rather than a slope.</w:t>
      </w:r>
    </w:p>
    <w:p>
      <w:pPr>
        <w:pStyle w:val="Heading2"/>
        <w:spacing w:after="120" w:before="220"/>
      </w:pPr>
      <w:r>
        <w:rPr>
          <w:b/>
          <w:bCs/>
          <w:color w:val="1a3a5c"/>
          <w:sz w:val="26"/>
          <w:szCs w:val="26"/>
        </w:rPr>
        <w:t xml:space="preserve">Appendix B: The Zero-Entry Ramp Design</w:t>
      </w:r>
    </w:p>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400"/>
        <w:gridCol w:w="4700"/>
      </w:tblGrid>
      <w:tr>
        <w:trPr>
          <w:tblHeader/>
        </w:trPr>
        <w:tc>
          <w:tcPr>
            <w:tcW w:type="dxa" w:w="5400"/>
            <w:shd w:fill="1a3a5c" w:val="clear"/>
            <w:tcMar>
              <w:top w:type="dxa" w:w="80"/>
              <w:left w:type="dxa" w:w="100"/>
              <w:bottom w:type="dxa" w:w="80"/>
              <w:right w:type="dxa" w:w="100"/>
            </w:tcMar>
          </w:tcPr>
          <w:p>
            <w:r>
              <w:rPr>
                <w:b/>
                <w:bCs/>
                <w:color w:val="FFFFFF"/>
                <w:sz w:val="20"/>
                <w:szCs w:val="20"/>
              </w:rPr>
              <w:t xml:space="preserve">Posted marker (in order down the ramp)</w:t>
            </w:r>
          </w:p>
        </w:tc>
        <w:tc>
          <w:tcPr>
            <w:tcW w:type="dxa" w:w="4700"/>
            <w:shd w:fill="1a3a5c" w:val="clear"/>
            <w:tcMar>
              <w:top w:type="dxa" w:w="80"/>
              <w:left w:type="dxa" w:w="100"/>
              <w:bottom w:type="dxa" w:w="80"/>
              <w:right w:type="dxa" w:w="100"/>
            </w:tcMar>
          </w:tcPr>
          <w:p>
            <w:r>
              <w:rPr>
                <w:b/>
                <w:bCs/>
                <w:color w:val="FFFFFF"/>
                <w:sz w:val="20"/>
                <w:szCs w:val="20"/>
              </w:rPr>
              <w:t xml:space="preserve">Depth</w:t>
            </w:r>
          </w:p>
        </w:tc>
      </w:tr>
      <w:tr>
        <w:tc>
          <w:tcPr>
            <w:tcW w:type="dxa" w:w="5400"/>
            <w:tcMar>
              <w:top w:type="dxa" w:w="80"/>
              <w:left w:type="dxa" w:w="100"/>
              <w:bottom w:type="dxa" w:w="80"/>
              <w:right w:type="dxa" w:w="100"/>
            </w:tcMar>
          </w:tcPr>
          <w:p>
            <w:r>
              <w:rPr>
                <w:b w:val="false"/>
                <w:bCs w:val="false"/>
                <w:color w:val="000000"/>
                <w:sz w:val="20"/>
                <w:szCs w:val="20"/>
              </w:rPr>
              <w:t xml:space="preserve">Marker 1 (waterline)</w:t>
            </w:r>
          </w:p>
        </w:tc>
        <w:tc>
          <w:tcPr>
            <w:tcW w:type="dxa" w:w="4700"/>
            <w:tcMar>
              <w:top w:type="dxa" w:w="80"/>
              <w:left w:type="dxa" w:w="100"/>
              <w:bottom w:type="dxa" w:w="80"/>
              <w:right w:type="dxa" w:w="100"/>
            </w:tcMar>
          </w:tcPr>
          <w:p>
            <w:r>
              <w:rPr>
                <w:b w:val="false"/>
                <w:bCs w:val="false"/>
                <w:color w:val="000000"/>
                <w:sz w:val="20"/>
                <w:szCs w:val="20"/>
              </w:rPr>
              <w:t xml:space="preserve">0.0 feet</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Marker 2</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1.3 feet</w:t>
            </w:r>
          </w:p>
        </w:tc>
      </w:tr>
      <w:tr>
        <w:tc>
          <w:tcPr>
            <w:tcW w:type="dxa" w:w="5400"/>
            <w:tcMar>
              <w:top w:type="dxa" w:w="80"/>
              <w:left w:type="dxa" w:w="100"/>
              <w:bottom w:type="dxa" w:w="80"/>
              <w:right w:type="dxa" w:w="100"/>
            </w:tcMar>
          </w:tcPr>
          <w:p>
            <w:r>
              <w:rPr>
                <w:b w:val="false"/>
                <w:bCs w:val="false"/>
                <w:color w:val="000000"/>
                <w:sz w:val="20"/>
                <w:szCs w:val="20"/>
              </w:rPr>
              <w:t xml:space="preserve">Marker 3</w:t>
            </w:r>
          </w:p>
        </w:tc>
        <w:tc>
          <w:tcPr>
            <w:tcW w:type="dxa" w:w="4700"/>
            <w:tcMar>
              <w:top w:type="dxa" w:w="80"/>
              <w:left w:type="dxa" w:w="100"/>
              <w:bottom w:type="dxa" w:w="80"/>
              <w:right w:type="dxa" w:w="100"/>
            </w:tcMar>
          </w:tcPr>
          <w:p>
            <w:r>
              <w:rPr>
                <w:b w:val="false"/>
                <w:bCs w:val="false"/>
                <w:color w:val="000000"/>
                <w:sz w:val="20"/>
                <w:szCs w:val="20"/>
              </w:rPr>
              <w:t xml:space="preserve">2.6 feet</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Marker 4</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3.9 feet</w:t>
            </w:r>
          </w:p>
        </w:tc>
      </w:tr>
      <w:tr>
        <w:tc>
          <w:tcPr>
            <w:tcW w:type="dxa" w:w="5400"/>
            <w:tcMar>
              <w:top w:type="dxa" w:w="80"/>
              <w:left w:type="dxa" w:w="100"/>
              <w:bottom w:type="dxa" w:w="80"/>
              <w:right w:type="dxa" w:w="100"/>
            </w:tcMar>
          </w:tcPr>
          <w:p>
            <w:r>
              <w:rPr>
                <w:b w:val="false"/>
                <w:bCs w:val="false"/>
                <w:color w:val="000000"/>
                <w:sz w:val="20"/>
                <w:szCs w:val="20"/>
              </w:rPr>
              <w:t xml:space="preserve">Marker 5 (ramp meets main pool floor)</w:t>
            </w:r>
          </w:p>
        </w:tc>
        <w:tc>
          <w:tcPr>
            <w:tcW w:type="dxa" w:w="4700"/>
            <w:tcMar>
              <w:top w:type="dxa" w:w="80"/>
              <w:left w:type="dxa" w:w="100"/>
              <w:bottom w:type="dxa" w:w="80"/>
              <w:right w:type="dxa" w:w="100"/>
            </w:tcMar>
          </w:tcPr>
          <w:p>
            <w:r>
              <w:rPr>
                <w:b w:val="false"/>
                <w:bCs w:val="false"/>
                <w:color w:val="000000"/>
                <w:sz w:val="20"/>
                <w:szCs w:val="20"/>
              </w:rPr>
              <w:t xml:space="preserve">5.0 feet</w:t>
            </w:r>
          </w:p>
        </w:tc>
      </w:tr>
    </w:tbl>
    <w:tbl>
      <w:tblPr>
        <w:tblW w:type="dxa" w:w="10100"/>
        <w:tblBorders>
          <w:top w:val="single" w:color="auto" w:sz="4"/>
          <w:left w:val="single" w:color="auto" w:sz="4"/>
          <w:bottom w:val="single" w:color="auto" w:sz="4"/>
          <w:right w:val="single" w:color="auto" w:sz="4"/>
          <w:insideH w:val="single" w:color="auto" w:sz="4"/>
          <w:insideV w:val="single" w:color="auto" w:sz="4"/>
        </w:tblBorders>
      </w:tblPr>
      <w:tblGrid>
        <w:gridCol w:w="5400"/>
        <w:gridCol w:w="4700"/>
      </w:tblGrid>
      <w:tr>
        <w:trPr>
          <w:tblHeader/>
        </w:trPr>
        <w:tc>
          <w:tcPr>
            <w:tcW w:type="dxa" w:w="5400"/>
            <w:shd w:fill="1a3a5c" w:val="clear"/>
            <w:tcMar>
              <w:top w:type="dxa" w:w="80"/>
              <w:left w:type="dxa" w:w="100"/>
              <w:bottom w:type="dxa" w:w="80"/>
              <w:right w:type="dxa" w:w="100"/>
            </w:tcMar>
          </w:tcPr>
          <w:p>
            <w:r>
              <w:rPr>
                <w:b/>
                <w:bCs/>
                <w:color w:val="FFFFFF"/>
                <w:sz w:val="20"/>
                <w:szCs w:val="20"/>
              </w:rPr>
              <w:t xml:space="preserve"/>
            </w:r>
          </w:p>
        </w:tc>
        <w:tc>
          <w:tcPr>
            <w:tcW w:type="dxa" w:w="4700"/>
            <w:shd w:fill="1a3a5c" w:val="clear"/>
            <w:tcMar>
              <w:top w:type="dxa" w:w="80"/>
              <w:left w:type="dxa" w:w="100"/>
              <w:bottom w:type="dxa" w:w="80"/>
              <w:right w:type="dxa" w:w="100"/>
            </w:tcMar>
          </w:tcPr>
          <w:p>
            <w:r>
              <w:rPr>
                <w:b/>
                <w:bCs/>
                <w:color w:val="FFFFFF"/>
                <w:sz w:val="20"/>
                <w:szCs w:val="20"/>
              </w:rPr>
              <w:t xml:space="preserve">Value</w:t>
            </w:r>
          </w:p>
        </w:tc>
      </w:tr>
      <w:tr>
        <w:tc>
          <w:tcPr>
            <w:tcW w:type="dxa" w:w="5400"/>
            <w:tcMar>
              <w:top w:type="dxa" w:w="80"/>
              <w:left w:type="dxa" w:w="100"/>
              <w:bottom w:type="dxa" w:w="80"/>
              <w:right w:type="dxa" w:w="100"/>
            </w:tcMar>
          </w:tcPr>
          <w:p>
            <w:r>
              <w:rPr>
                <w:b w:val="false"/>
                <w:bCs w:val="false"/>
                <w:color w:val="000000"/>
                <w:sz w:val="20"/>
                <w:szCs w:val="20"/>
              </w:rPr>
              <w:t xml:space="preserve">Design</w:t>
            </w:r>
          </w:p>
        </w:tc>
        <w:tc>
          <w:tcPr>
            <w:tcW w:type="dxa" w:w="4700"/>
            <w:tcMar>
              <w:top w:type="dxa" w:w="80"/>
              <w:left w:type="dxa" w:w="100"/>
              <w:bottom w:type="dxa" w:w="80"/>
              <w:right w:type="dxa" w:w="100"/>
            </w:tcMar>
          </w:tcPr>
          <w:p>
            <w:r>
              <w:rPr>
                <w:b w:val="false"/>
                <w:bCs w:val="false"/>
                <w:color w:val="000000"/>
                <w:sz w:val="20"/>
                <w:szCs w:val="20"/>
              </w:rPr>
              <w:t xml:space="preserve">Gradually sloped zero-entry ramp, no diving well</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Pool basin footprint</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3,500 square feet [MA2] (stated modeling assumption — see Appendix C)</w:t>
            </w:r>
          </w:p>
        </w:tc>
      </w:tr>
      <w:tr>
        <w:tc>
          <w:tcPr>
            <w:tcW w:type="dxa" w:w="5400"/>
            <w:tcMar>
              <w:top w:type="dxa" w:w="80"/>
              <w:left w:type="dxa" w:w="100"/>
              <w:bottom w:type="dxa" w:w="80"/>
              <w:right w:type="dxa" w:w="100"/>
            </w:tcMar>
          </w:tcPr>
          <w:p>
            <w:r>
              <w:rPr>
                <w:b w:val="false"/>
                <w:bCs w:val="false"/>
                <w:color w:val="000000"/>
                <w:sz w:val="20"/>
                <w:szCs w:val="20"/>
              </w:rPr>
              <w:t xml:space="preserve">Weekly hours reserved for exclusive team use</w:t>
            </w:r>
          </w:p>
        </w:tc>
        <w:tc>
          <w:tcPr>
            <w:tcW w:type="dxa" w:w="4700"/>
            <w:tcMar>
              <w:top w:type="dxa" w:w="80"/>
              <w:left w:type="dxa" w:w="100"/>
              <w:bottom w:type="dxa" w:w="80"/>
              <w:right w:type="dxa" w:w="100"/>
            </w:tcMar>
          </w:tcPr>
          <w:p>
            <w:r>
              <w:rPr>
                <w:b w:val="false"/>
                <w:bCs w:val="false"/>
                <w:color w:val="000000"/>
                <w:sz w:val="20"/>
                <w:szCs w:val="20"/>
              </w:rPr>
              <w:t xml:space="preserve">None — no design feature requires closing the pool to general supervised swimming</w:t>
            </w:r>
          </w:p>
        </w:tc>
      </w:tr>
      <w:tr>
        <w:tc>
          <w:tcPr>
            <w:tcW w:type="dxa" w:w="5400"/>
            <w:shd w:fill="F7F9FB" w:val="clear"/>
            <w:tcMar>
              <w:top w:type="dxa" w:w="80"/>
              <w:left w:type="dxa" w:w="100"/>
              <w:bottom w:type="dxa" w:w="80"/>
              <w:right w:type="dxa" w:w="100"/>
            </w:tcMar>
          </w:tcPr>
          <w:p>
            <w:r>
              <w:rPr>
                <w:b w:val="false"/>
                <w:bCs w:val="false"/>
                <w:color w:val="000000"/>
                <w:sz w:val="20"/>
                <w:szCs w:val="20"/>
              </w:rPr>
              <w:t xml:space="preserve">Facility's total weekly scheduled supervised-swim hours</w:t>
            </w:r>
          </w:p>
        </w:tc>
        <w:tc>
          <w:tcPr>
            <w:tcW w:type="dxa" w:w="4700"/>
            <w:shd w:fill="F7F9FB" w:val="clear"/>
            <w:tcMar>
              <w:top w:type="dxa" w:w="80"/>
              <w:left w:type="dxa" w:w="100"/>
              <w:bottom w:type="dxa" w:w="80"/>
              <w:right w:type="dxa" w:w="100"/>
            </w:tcMar>
          </w:tcPr>
          <w:p>
            <w:r>
              <w:rPr>
                <w:b w:val="false"/>
                <w:bCs w:val="false"/>
                <w:color w:val="000000"/>
                <w:sz w:val="20"/>
                <w:szCs w:val="20"/>
              </w:rPr>
              <w:t xml:space="preserve">63 hours/week [MA1] (stated modeling assumption — see Appendix C)</w:t>
            </w:r>
          </w:p>
        </w:tc>
      </w:tr>
      <w:tr>
        <w:tc>
          <w:tcPr>
            <w:tcW w:type="dxa" w:w="5400"/>
            <w:tcMar>
              <w:top w:type="dxa" w:w="80"/>
              <w:left w:type="dxa" w:w="100"/>
              <w:bottom w:type="dxa" w:w="80"/>
              <w:right w:type="dxa" w:w="100"/>
            </w:tcMar>
          </w:tcPr>
          <w:p>
            <w:r>
              <w:rPr>
                <w:b w:val="false"/>
                <w:bCs w:val="false"/>
                <w:color w:val="000000"/>
                <w:sz w:val="20"/>
                <w:szCs w:val="20"/>
              </w:rPr>
              <w:t xml:space="preserve">Weekly hours accessible to the general supervised user base</w:t>
            </w:r>
          </w:p>
        </w:tc>
        <w:tc>
          <w:tcPr>
            <w:tcW w:type="dxa" w:w="4700"/>
            <w:tcMar>
              <w:top w:type="dxa" w:w="80"/>
              <w:left w:type="dxa" w:w="100"/>
              <w:bottom w:type="dxa" w:w="80"/>
              <w:right w:type="dxa" w:w="100"/>
            </w:tcMar>
          </w:tcPr>
          <w:p>
            <w:r>
              <w:rPr>
                <w:b w:val="false"/>
                <w:bCs w:val="false"/>
                <w:color w:val="000000"/>
                <w:sz w:val="20"/>
                <w:szCs w:val="20"/>
              </w:rPr>
              <w:t xml:space="preserve">63 hours/week</w:t>
            </w:r>
          </w:p>
        </w:tc>
      </w:tr>
    </w:tbl>
    <w:p>
      <w:pPr>
        <w:spacing w:after="160"/>
      </w:pPr>
      <w:r>
        <w:rPr>
          <w:i/>
          <w:iCs/>
          <w:color w:val="5b6472"/>
          <w:sz w:val="18"/>
          <w:szCs w:val="18"/>
        </w:rPr>
        <w:t xml:space="preserve">Because the ramp descends gradually rather than dropping to a single fixed depth, its posted markers are set close enough together that a whole-foot reading would not be precise enough to tell swimmers how deep the water actually is at each marker — hence the tenth-of-a-foot markings.</w:t>
      </w:r>
    </w:p>
    <w:p>
      <w:pPr>
        <w:pStyle w:val="Heading2"/>
        <w:spacing w:after="120" w:before="220"/>
      </w:pPr>
      <w:r>
        <w:rPr>
          <w:b/>
          <w:bCs/>
          <w:color w:val="1a3a5c"/>
          <w:sz w:val="26"/>
          <w:szCs w:val="26"/>
        </w:rPr>
        <w:t xml:space="preserve">Appendix C: Modeling Assumptions</w:t>
      </w:r>
    </w:p>
    <w:p>
      <w:pPr>
        <w:spacing w:after="160"/>
      </w:pPr>
      <w:r>
        <w:rPr>
          <w:i/>
          <w:iCs/>
        </w:rPr>
        <w:t xml:space="preserve">These figures are not sourced. They are stated scenario assumptions chosen by the case author. A Hero may challenge them in discussion — that is a legitimate move.</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1700"/>
        <w:gridCol w:w="2900"/>
        <w:gridCol w:w="2800"/>
      </w:tblGrid>
      <w:tr>
        <w:trPr>
          <w:tblHeader/>
        </w:trPr>
        <w:tc>
          <w:tcPr>
            <w:tcW w:type="dxa" w:w="500"/>
            <w:shd w:fill="1a3a5c" w:val="clear"/>
            <w:tcMar>
              <w:top w:type="dxa" w:w="80"/>
              <w:left w:type="dxa" w:w="100"/>
              <w:bottom w:type="dxa" w:w="80"/>
              <w:right w:type="dxa" w:w="100"/>
            </w:tcMar>
          </w:tcPr>
          <w:p>
            <w:r>
              <w:rPr>
                <w:b/>
                <w:bCs/>
                <w:color w:val="FFFFFF"/>
                <w:sz w:val="20"/>
                <w:szCs w:val="20"/>
              </w:rPr>
              <w:t xml:space="preserve">#</w:t>
            </w:r>
          </w:p>
        </w:tc>
        <w:tc>
          <w:tcPr>
            <w:tcW w:type="dxa" w:w="1600"/>
            <w:shd w:fill="1a3a5c" w:val="clear"/>
            <w:tcMar>
              <w:top w:type="dxa" w:w="80"/>
              <w:left w:type="dxa" w:w="100"/>
              <w:bottom w:type="dxa" w:w="80"/>
              <w:right w:type="dxa" w:w="100"/>
            </w:tcMar>
          </w:tcPr>
          <w:p>
            <w:r>
              <w:rPr>
                <w:b/>
                <w:bCs/>
                <w:color w:val="FFFFFF"/>
                <w:sz w:val="20"/>
                <w:szCs w:val="20"/>
              </w:rPr>
              <w:t xml:space="preserve">Assumption</w:t>
            </w:r>
          </w:p>
        </w:tc>
        <w:tc>
          <w:tcPr>
            <w:tcW w:type="dxa" w:w="1700"/>
            <w:shd w:fill="1a3a5c" w:val="clear"/>
            <w:tcMar>
              <w:top w:type="dxa" w:w="80"/>
              <w:left w:type="dxa" w:w="100"/>
              <w:bottom w:type="dxa" w:w="80"/>
              <w:right w:type="dxa" w:w="100"/>
            </w:tcMar>
          </w:tcPr>
          <w:p>
            <w:r>
              <w:rPr>
                <w:b/>
                <w:bCs/>
                <w:color w:val="FFFFFF"/>
                <w:sz w:val="20"/>
                <w:szCs w:val="20"/>
              </w:rPr>
              <w:t xml:space="preserve">Value used</w:t>
            </w:r>
          </w:p>
        </w:tc>
        <w:tc>
          <w:tcPr>
            <w:tcW w:type="dxa" w:w="2900"/>
            <w:shd w:fill="1a3a5c" w:val="clear"/>
            <w:tcMar>
              <w:top w:type="dxa" w:w="80"/>
              <w:left w:type="dxa" w:w="100"/>
              <w:bottom w:type="dxa" w:w="80"/>
              <w:right w:type="dxa" w:w="100"/>
            </w:tcMar>
          </w:tcPr>
          <w:p>
            <w:r>
              <w:rPr>
                <w:b/>
                <w:bCs/>
                <w:color w:val="FFFFFF"/>
                <w:sz w:val="20"/>
                <w:szCs w:val="20"/>
              </w:rPr>
              <w:t xml:space="preserve">Basis</w:t>
            </w:r>
          </w:p>
        </w:tc>
        <w:tc>
          <w:tcPr>
            <w:tcW w:type="dxa" w:w="2800"/>
            <w:shd w:fill="1a3a5c" w:val="clear"/>
            <w:tcMar>
              <w:top w:type="dxa" w:w="80"/>
              <w:left w:type="dxa" w:w="100"/>
              <w:bottom w:type="dxa" w:w="80"/>
              <w:right w:type="dxa" w:w="100"/>
            </w:tcMar>
          </w:tcPr>
          <w:p>
            <w:r>
              <w:rPr>
                <w:b/>
                <w:bCs/>
                <w:color w:val="FFFFFF"/>
                <w:sz w:val="20"/>
                <w:szCs w:val="20"/>
              </w:rPr>
              <w:t xml:space="preserve">Sensitivity</w:t>
            </w:r>
          </w:p>
        </w:tc>
      </w:tr>
      <w:tr>
        <w:tc>
          <w:tcPr>
            <w:tcW w:type="dxa" w:w="500"/>
            <w:tcMar>
              <w:top w:type="dxa" w:w="80"/>
              <w:left w:type="dxa" w:w="100"/>
              <w:bottom w:type="dxa" w:w="80"/>
              <w:right w:type="dxa" w:w="100"/>
            </w:tcMar>
          </w:tcPr>
          <w:p>
            <w:r>
              <w:rPr>
                <w:b w:val="false"/>
                <w:bCs w:val="false"/>
                <w:color w:val="000000"/>
                <w:sz w:val="20"/>
                <w:szCs w:val="20"/>
              </w:rPr>
              <w:t xml:space="preserve">MA1</w:t>
            </w:r>
          </w:p>
        </w:tc>
        <w:tc>
          <w:tcPr>
            <w:tcW w:type="dxa" w:w="1600"/>
            <w:tcMar>
              <w:top w:type="dxa" w:w="80"/>
              <w:left w:type="dxa" w:w="100"/>
              <w:bottom w:type="dxa" w:w="80"/>
              <w:right w:type="dxa" w:w="100"/>
            </w:tcMar>
          </w:tcPr>
          <w:p>
            <w:r>
              <w:rPr>
                <w:b w:val="false"/>
                <w:bCs w:val="false"/>
                <w:color w:val="000000"/>
                <w:sz w:val="20"/>
                <w:szCs w:val="20"/>
              </w:rPr>
              <w:t xml:space="preserve">Facility's total weekly scheduled supervised-swim hours, and the Deep-End Design's exclusive team-practice block</w:t>
            </w:r>
          </w:p>
        </w:tc>
        <w:tc>
          <w:tcPr>
            <w:tcW w:type="dxa" w:w="1700"/>
            <w:tcMar>
              <w:top w:type="dxa" w:w="80"/>
              <w:left w:type="dxa" w:w="100"/>
              <w:bottom w:type="dxa" w:w="80"/>
              <w:right w:type="dxa" w:w="100"/>
            </w:tcMar>
          </w:tcPr>
          <w:p>
            <w:r>
              <w:rPr>
                <w:b w:val="false"/>
                <w:bCs w:val="false"/>
                <w:color w:val="000000"/>
                <w:sz w:val="20"/>
                <w:szCs w:val="20"/>
              </w:rPr>
              <w:t xml:space="preserve">63 hours/week total; 18 hours/week reserved under the Deep-End Design</w:t>
            </w:r>
          </w:p>
        </w:tc>
        <w:tc>
          <w:tcPr>
            <w:tcW w:type="dxa" w:w="2900"/>
            <w:tcMar>
              <w:top w:type="dxa" w:w="80"/>
              <w:left w:type="dxa" w:w="100"/>
              <w:bottom w:type="dxa" w:w="80"/>
              <w:right w:type="dxa" w:w="100"/>
            </w:tcMar>
          </w:tcPr>
          <w:p>
            <w:r>
              <w:rPr>
                <w:b w:val="false"/>
                <w:bCs w:val="false"/>
                <w:color w:val="000000"/>
                <w:sz w:val="20"/>
                <w:szCs w:val="20"/>
              </w:rPr>
              <w:t xml:space="preserve">No engineering or staffing plan exists yet for either design, since the rebuild has not broken ground. 63 hours/week (9 hours/day, 7 days/week) is a common scheduled-hours baseline for a mid-size municipal pool. The 18-hour reserved block reflects a real, common municipal-pool safety practice — closing general supervised swimming while a diving well is in organized team use, because one lifeguard staff cannot safely cover both a deep diving well and the rest of the pool at the same time — applied here as a chosen scenario value for this specific facility.</w:t>
            </w:r>
          </w:p>
        </w:tc>
        <w:tc>
          <w:tcPr>
            <w:tcW w:type="dxa" w:w="2800"/>
            <w:tcMar>
              <w:top w:type="dxa" w:w="80"/>
              <w:left w:type="dxa" w:w="100"/>
              <w:bottom w:type="dxa" w:w="80"/>
              <w:right w:type="dxa" w:w="100"/>
            </w:tcMar>
          </w:tcPr>
          <w:p>
            <w:r>
              <w:rPr>
                <w:b w:val="false"/>
                <w:bCs w:val="false"/>
                <w:color w:val="000000"/>
                <w:sz w:val="20"/>
                <w:szCs w:val="20"/>
              </w:rPr>
              <w:t xml:space="preserve">This case's outcome is sensitive to both figures. Changing the reserved-hours block changes only the Deep-End Design's accessible hours; changing the total weekly schedule changes both designs' accessible hours, though not by the same amount, since the reserved block is subtracted from only one of them.</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MA2</w:t>
            </w:r>
          </w:p>
        </w:tc>
        <w:tc>
          <w:tcPr>
            <w:tcW w:type="dxa" w:w="1600"/>
            <w:shd w:fill="F7F9FB" w:val="clear"/>
            <w:tcMar>
              <w:top w:type="dxa" w:w="80"/>
              <w:left w:type="dxa" w:w="100"/>
              <w:bottom w:type="dxa" w:w="80"/>
              <w:right w:type="dxa" w:w="100"/>
            </w:tcMar>
          </w:tcPr>
          <w:p>
            <w:r>
              <w:rPr>
                <w:b w:val="false"/>
                <w:bCs w:val="false"/>
                <w:color w:val="000000"/>
                <w:sz w:val="20"/>
                <w:szCs w:val="20"/>
              </w:rPr>
              <w:t xml:space="preserve">Pool basin footprint for each design, at the shared 30-ft basin width</w:t>
            </w:r>
          </w:p>
        </w:tc>
        <w:tc>
          <w:tcPr>
            <w:tcW w:type="dxa" w:w="1700"/>
            <w:shd w:fill="F7F9FB" w:val="clear"/>
            <w:tcMar>
              <w:top w:type="dxa" w:w="80"/>
              <w:left w:type="dxa" w:w="100"/>
              <w:bottom w:type="dxa" w:w="80"/>
              <w:right w:type="dxa" w:w="100"/>
            </w:tcMar>
          </w:tcPr>
          <w:p>
            <w:r>
              <w:rPr>
                <w:b w:val="false"/>
                <w:bCs w:val="false"/>
                <w:color w:val="000000"/>
                <w:sz w:val="20"/>
                <w:szCs w:val="20"/>
              </w:rPr>
              <w:t xml:space="preserve">Deep-End: 2,700 sq ft; Zero-Entry Ramp: 3,500 sq ft</w:t>
            </w:r>
          </w:p>
        </w:tc>
        <w:tc>
          <w:tcPr>
            <w:tcW w:type="dxa" w:w="2900"/>
            <w:shd w:fill="F7F9FB" w:val="clear"/>
            <w:tcMar>
              <w:top w:type="dxa" w:w="80"/>
              <w:left w:type="dxa" w:w="100"/>
              <w:bottom w:type="dxa" w:w="80"/>
              <w:right w:type="dxa" w:w="100"/>
            </w:tcMar>
          </w:tcPr>
          <w:p>
            <w:r>
              <w:rPr>
                <w:b w:val="false"/>
                <w:bCs w:val="false"/>
                <w:color w:val="000000"/>
                <w:sz w:val="20"/>
                <w:szCs w:val="20"/>
              </w:rPr>
              <w:t xml:space="preserve">Zero-entry ramp designs need meaningfully more footprint than a stepped or fixed-depth entry to reach the same swimming depth, because the slope has to descend gradually rather than dropping straight down — real pool-design guidance describes a typical slope needing roughly 20–25 feet of horizontal entry-zone length to reach standard swimming depth [S3]. This case applies that real design constraint, scaled against the shared 30-ft basin width, to produce the two footprint figures above; the exact figures are this case's own scenario choice, since no site-specific engineering drawing exists yet.</w:t>
            </w:r>
          </w:p>
        </w:tc>
        <w:tc>
          <w:tcPr>
            <w:tcW w:type="dxa" w:w="2800"/>
            <w:shd w:fill="F7F9FB" w:val="clear"/>
            <w:tcMar>
              <w:top w:type="dxa" w:w="80"/>
              <w:left w:type="dxa" w:w="100"/>
              <w:bottom w:type="dxa" w:w="80"/>
              <w:right w:type="dxa" w:w="100"/>
            </w:tcMar>
          </w:tcPr>
          <w:p>
            <w:r>
              <w:rPr>
                <w:b w:val="false"/>
                <w:bCs w:val="false"/>
                <w:color w:val="000000"/>
                <w:sz w:val="20"/>
                <w:szCs w:val="20"/>
              </w:rPr>
              <w:t xml:space="preserve">This case's outcome is sensitive to this figure, especially the ramp design's footprint — it is the single most defensible number in the case for a Hero to challenge, since it depends on a slope requirement this case did not have final engineering drawings to confirm.</w:t>
            </w:r>
          </w:p>
        </w:tc>
      </w:tr>
    </w:tbl>
    <w:p>
      <w:pPr>
        <w:pStyle w:val="Heading2"/>
        <w:spacing w:after="120" w:before="220"/>
      </w:pPr>
      <w:r>
        <w:rPr>
          <w:b/>
          <w:bCs/>
          <w:color w:val="1a3a5c"/>
          <w:sz w:val="26"/>
          <w:szCs w:val="26"/>
        </w:rPr>
        <w:t xml:space="preserve">Appendix D: Learn More</w:t>
      </w:r>
    </w:p>
    <w:p>
      <w:pPr>
        <w:spacing w:after="160"/>
      </w:pPr>
      <w:r>
        <w:t xml:space="preserve">Want to go beyond the required math? These are real, freely available resources — not required for any Challenge, but useful if you want more background on why this decision matters.</w:t>
      </w:r>
    </w:p>
    <w:p>
      <w:pPr>
        <w:spacing w:after="160"/>
      </w:pPr>
      <w:hyperlink w:history="1" r:id="rIdfrbnpeg1_s6fi811mcd_n">
        <w:r>
          <w:rPr>
            <w:rStyle w:val="Hyperlink"/>
            <w:color w:val="1a3a5c"/>
            <w:u w:val="single"/>
          </w:rPr>
          <w:t xml:space="preserve">Drowning Facts — CDC</w:t>
        </w:r>
      </w:hyperlink>
      <w:r>
        <w:t xml:space="preserve"> — real national data on who drowning affects most, for background on why supervised swim-hours and who can access them is a real safety question, not just a scheduling one.</w:t>
      </w:r>
    </w:p>
    <w:p>
      <w:pPr>
        <w:spacing w:after="160"/>
      </w:pPr>
      <w:hyperlink w:history="1" r:id="rIdnpicfkltnsn-2tpcihz0s">
        <w:r>
          <w:rPr>
            <w:rStyle w:val="Hyperlink"/>
            <w:color w:val="1a3a5c"/>
            <w:u w:val="single"/>
          </w:rPr>
          <w:t xml:space="preserve">Swimming Pool Accessibility — U.S. Access Board</w:t>
        </w:r>
      </w:hyperlink>
      <w:r>
        <w:t xml:space="preserve"> — the real federal accessibility guidance behind the disability-rights group's request in this case.</w:t>
      </w:r>
    </w:p>
    <w:p>
      <w:pPr>
        <w:pStyle w:val="Heading3"/>
        <w:spacing w:after="100" w:before="180"/>
      </w:pPr>
      <w:r>
        <w:rPr>
          <w:b/>
          <w:bCs/>
          <w:color w:val="1a3a5c"/>
          <w:sz w:val="22"/>
          <w:szCs w:val="22"/>
        </w:rPr>
        <w:t xml:space="preserve">Appendix E — Sources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1900"/>
        <w:gridCol w:w="2500"/>
        <w:gridCol w:w="1000"/>
        <w:gridCol w:w="1000"/>
      </w:tblGrid>
      <w:tr>
        <w:trPr>
          <w:tblHeader/>
        </w:trPr>
        <w:tc>
          <w:tcPr>
            <w:tcW w:type="dxa" w:w="500"/>
            <w:shd w:fill="1a3a5c" w:val="clear"/>
            <w:tcMar>
              <w:top w:type="dxa" w:w="80"/>
              <w:left w:type="dxa" w:w="100"/>
              <w:bottom w:type="dxa" w:w="80"/>
              <w:right w:type="dxa" w:w="100"/>
            </w:tcMar>
          </w:tcPr>
          <w:p>
            <w:r>
              <w:rPr>
                <w:b/>
                <w:bCs/>
                <w:color w:val="FFFFFF"/>
                <w:sz w:val="20"/>
                <w:szCs w:val="20"/>
              </w:rPr>
              <w:t xml:space="preserve">#</w:t>
            </w:r>
          </w:p>
        </w:tc>
        <w:tc>
          <w:tcPr>
            <w:tcW w:type="dxa" w:w="2600"/>
            <w:shd w:fill="1a3a5c" w:val="clear"/>
            <w:tcMar>
              <w:top w:type="dxa" w:w="80"/>
              <w:left w:type="dxa" w:w="100"/>
              <w:bottom w:type="dxa" w:w="80"/>
              <w:right w:type="dxa" w:w="100"/>
            </w:tcMar>
          </w:tcPr>
          <w:p>
            <w:r>
              <w:rPr>
                <w:b/>
                <w:bCs/>
                <w:color w:val="FFFFFF"/>
                <w:sz w:val="20"/>
                <w:szCs w:val="20"/>
              </w:rPr>
              <w:t xml:space="preserve">Claim</w:t>
            </w:r>
          </w:p>
        </w:tc>
        <w:tc>
          <w:tcPr>
            <w:tcW w:type="dxa" w:w="1900"/>
            <w:shd w:fill="1a3a5c" w:val="clear"/>
            <w:tcMar>
              <w:top w:type="dxa" w:w="80"/>
              <w:left w:type="dxa" w:w="100"/>
              <w:bottom w:type="dxa" w:w="80"/>
              <w:right w:type="dxa" w:w="100"/>
            </w:tcMar>
          </w:tcPr>
          <w:p>
            <w:r>
              <w:rPr>
                <w:b/>
                <w:bCs/>
                <w:color w:val="FFFFFF"/>
                <w:sz w:val="20"/>
                <w:szCs w:val="20"/>
              </w:rPr>
              <w:t xml:space="preserve">Value</w:t>
            </w:r>
          </w:p>
        </w:tc>
        <w:tc>
          <w:tcPr>
            <w:tcW w:type="dxa" w:w="2500"/>
            <w:shd w:fill="1a3a5c" w:val="clear"/>
            <w:tcMar>
              <w:top w:type="dxa" w:w="80"/>
              <w:left w:type="dxa" w:w="100"/>
              <w:bottom w:type="dxa" w:w="80"/>
              <w:right w:type="dxa" w:w="100"/>
            </w:tcMar>
          </w:tcPr>
          <w:p>
            <w:r>
              <w:rPr>
                <w:b/>
                <w:bCs/>
                <w:color w:val="FFFFFF"/>
                <w:sz w:val="20"/>
                <w:szCs w:val="20"/>
              </w:rPr>
              <w:t xml:space="preserve">Source</w:t>
            </w:r>
          </w:p>
        </w:tc>
        <w:tc>
          <w:tcPr>
            <w:tcW w:type="dxa" w:w="1000"/>
            <w:shd w:fill="1a3a5c" w:val="clear"/>
            <w:tcMar>
              <w:top w:type="dxa" w:w="80"/>
              <w:left w:type="dxa" w:w="100"/>
              <w:bottom w:type="dxa" w:w="80"/>
              <w:right w:type="dxa" w:w="100"/>
            </w:tcMar>
          </w:tcPr>
          <w:p>
            <w:r>
              <w:rPr>
                <w:b/>
                <w:bCs/>
                <w:color w:val="FFFFFF"/>
                <w:sz w:val="20"/>
                <w:szCs w:val="20"/>
              </w:rPr>
              <w:t xml:space="preserve">Date</w:t>
            </w:r>
          </w:p>
        </w:tc>
        <w:tc>
          <w:tcPr>
            <w:tcW w:type="dxa" w:w="1000"/>
            <w:shd w:fill="1a3a5c" w:val="clear"/>
            <w:tcMar>
              <w:top w:type="dxa" w:w="80"/>
              <w:left w:type="dxa" w:w="100"/>
              <w:bottom w:type="dxa" w:w="80"/>
              <w:right w:type="dxa" w:w="100"/>
            </w:tcMar>
          </w:tcPr>
          <w:p>
            <w:r>
              <w:rPr>
                <w:b/>
                <w:bCs/>
                <w:color w:val="FFFFFF"/>
                <w:sz w:val="20"/>
                <w:szCs w:val="20"/>
              </w:rPr>
              <w:t xml:space="preserve">Confidence</w:t>
            </w:r>
          </w:p>
        </w:tc>
      </w:tr>
      <w:tr>
        <w:tc>
          <w:tcPr>
            <w:tcW w:type="dxa" w:w="500"/>
            <w:tcMar>
              <w:top w:type="dxa" w:w="80"/>
              <w:left w:type="dxa" w:w="100"/>
              <w:bottom w:type="dxa" w:w="80"/>
              <w:right w:type="dxa" w:w="100"/>
            </w:tcMar>
          </w:tcPr>
          <w:p>
            <w:r>
              <w:rPr>
                <w:b w:val="false"/>
                <w:bCs w:val="false"/>
                <w:color w:val="000000"/>
                <w:sz w:val="20"/>
                <w:szCs w:val="20"/>
              </w:rPr>
              <w:t xml:space="preserve">S1</w:t>
            </w:r>
          </w:p>
        </w:tc>
        <w:tc>
          <w:tcPr>
            <w:tcW w:type="dxa" w:w="2600"/>
            <w:tcMar>
              <w:top w:type="dxa" w:w="80"/>
              <w:left w:type="dxa" w:w="100"/>
              <w:bottom w:type="dxa" w:w="80"/>
              <w:right w:type="dxa" w:w="100"/>
            </w:tcMar>
          </w:tcPr>
          <w:p>
            <w:r>
              <w:rPr>
                <w:b w:val="false"/>
                <w:bCs w:val="false"/>
                <w:color w:val="000000"/>
                <w:sz w:val="20"/>
                <w:szCs w:val="20"/>
              </w:rPr>
              <w:t xml:space="preserve">Drowning is the leading cause of unintentional injury death for children ages 1–4 in the US; unintentional drowning kills an average of about 4,000 people per year nationally (about 11 people per day), across all ages</w:t>
            </w:r>
          </w:p>
        </w:tc>
        <w:tc>
          <w:tcPr>
            <w:tcW w:type="dxa" w:w="1900"/>
            <w:tcMar>
              <w:top w:type="dxa" w:w="80"/>
              <w:left w:type="dxa" w:w="100"/>
              <w:bottom w:type="dxa" w:w="80"/>
              <w:right w:type="dxa" w:w="100"/>
            </w:tcMar>
          </w:tcPr>
          <w:p>
            <w:r>
              <w:rPr>
                <w:b w:val="false"/>
                <w:bCs w:val="false"/>
                <w:color w:val="000000"/>
                <w:sz w:val="20"/>
                <w:szCs w:val="20"/>
              </w:rPr>
              <w:t xml:space="preserve">Leading cause of injury death, ages 1–4; ~4,000 deaths/year, ~11/day, all ages</w:t>
            </w:r>
          </w:p>
        </w:tc>
        <w:tc>
          <w:tcPr>
            <w:tcW w:type="dxa" w:w="2500"/>
            <w:tcMar>
              <w:top w:type="dxa" w:w="80"/>
              <w:left w:type="dxa" w:w="100"/>
              <w:bottom w:type="dxa" w:w="80"/>
              <w:right w:type="dxa" w:w="100"/>
            </w:tcMar>
          </w:tcPr>
          <w:p>
            <w:hyperlink w:history="1" r:id="rIddn0ejxrwcugw0ge_lhhe3">
              <w:r>
                <w:rPr>
                  <w:rStyle w:val="Hyperlink"/>
                  <w:color w:val="1a3a5c"/>
                  <w:u w:val="single"/>
                </w:rPr>
                <w:t xml:space="preserve">CDC — Drowning Facts</w:t>
              </w:r>
            </w:hyperlink>
          </w:p>
        </w:tc>
        <w:tc>
          <w:tcPr>
            <w:tcW w:type="dxa" w:w="1000"/>
            <w:tcMar>
              <w:top w:type="dxa" w:w="80"/>
              <w:left w:type="dxa" w:w="100"/>
              <w:bottom w:type="dxa" w:w="80"/>
              <w:right w:type="dxa" w:w="100"/>
            </w:tcMar>
          </w:tcPr>
          <w:p>
            <w:r>
              <w:rPr>
                <w:b w:val="false"/>
                <w:bCs w:val="false"/>
                <w:color w:val="000000"/>
                <w:sz w:val="20"/>
                <w:szCs w:val="20"/>
              </w:rPr>
              <w:t xml:space="preserve">Accessed 2026-09-05 (re-verified 2026-09-05)</w:t>
            </w:r>
          </w:p>
        </w:tc>
        <w:tc>
          <w:tcPr>
            <w:tcW w:type="dxa" w:w="1000"/>
            <w:tcMar>
              <w:top w:type="dxa" w:w="80"/>
              <w:left w:type="dxa" w:w="100"/>
              <w:bottom w:type="dxa" w:w="80"/>
              <w:right w:type="dxa" w:w="100"/>
            </w:tcMar>
          </w:tcPr>
          <w:p>
            <w:r>
              <w:rPr>
                <w:b w:val="false"/>
                <w:bCs w:val="false"/>
                <w:color w:val="000000"/>
                <w:sz w:val="20"/>
                <w:szCs w:val="20"/>
              </w:rPr>
              <w:t xml:space="preserve">HIGH</w:t>
            </w:r>
          </w:p>
        </w:tc>
      </w:tr>
      <w:tr>
        <w:tc>
          <w:tcPr>
            <w:tcW w:type="dxa" w:w="500"/>
            <w:shd w:fill="F7F9FB" w:val="clear"/>
            <w:tcMar>
              <w:top w:type="dxa" w:w="80"/>
              <w:left w:type="dxa" w:w="100"/>
              <w:bottom w:type="dxa" w:w="80"/>
              <w:right w:type="dxa" w:w="100"/>
            </w:tcMar>
          </w:tcPr>
          <w:p>
            <w:r>
              <w:rPr>
                <w:b w:val="false"/>
                <w:bCs w:val="false"/>
                <w:color w:val="000000"/>
                <w:sz w:val="20"/>
                <w:szCs w:val="20"/>
              </w:rPr>
              <w:t xml:space="preserve">S2</w:t>
            </w:r>
          </w:p>
        </w:tc>
        <w:tc>
          <w:tcPr>
            <w:tcW w:type="dxa" w:w="2600"/>
            <w:shd w:fill="F7F9FB" w:val="clear"/>
            <w:tcMar>
              <w:top w:type="dxa" w:w="80"/>
              <w:left w:type="dxa" w:w="100"/>
              <w:bottom w:type="dxa" w:w="80"/>
              <w:right w:type="dxa" w:w="100"/>
            </w:tcMar>
          </w:tcPr>
          <w:p>
            <w:r>
              <w:rPr>
                <w:b w:val="false"/>
                <w:bCs w:val="false"/>
                <w:color w:val="000000"/>
                <w:sz w:val="20"/>
                <w:szCs w:val="20"/>
              </w:rPr>
              <w:t xml:space="preserve">ADA accessible-entry requirements for public pools: a pool with more than 300 linear feet of pool wall must provide at least two accessible means of entry, at least one of which must be a sloped entry or a pool lift; a smaller pool needs only one, either a lift or a sloped entry</w:t>
            </w:r>
          </w:p>
        </w:tc>
        <w:tc>
          <w:tcPr>
            <w:tcW w:type="dxa" w:w="1900"/>
            <w:shd w:fill="F7F9FB" w:val="clear"/>
            <w:tcMar>
              <w:top w:type="dxa" w:w="80"/>
              <w:left w:type="dxa" w:w="100"/>
              <w:bottom w:type="dxa" w:w="80"/>
              <w:right w:type="dxa" w:w="100"/>
            </w:tcMar>
          </w:tcPr>
          <w:p>
            <w:r>
              <w:rPr>
                <w:b w:val="false"/>
                <w:bCs w:val="false"/>
                <w:color w:val="000000"/>
                <w:sz w:val="20"/>
                <w:szCs w:val="20"/>
              </w:rPr>
              <w:t xml:space="preserve">300 linear feet threshold; 1 or 2 required accessible entries</w:t>
            </w:r>
          </w:p>
        </w:tc>
        <w:tc>
          <w:tcPr>
            <w:tcW w:type="dxa" w:w="2500"/>
            <w:shd w:fill="F7F9FB" w:val="clear"/>
            <w:tcMar>
              <w:top w:type="dxa" w:w="80"/>
              <w:left w:type="dxa" w:w="100"/>
              <w:bottom w:type="dxa" w:w="80"/>
              <w:right w:type="dxa" w:w="100"/>
            </w:tcMar>
          </w:tcPr>
          <w:p>
            <w:hyperlink w:history="1" r:id="rIdmxtkbckdyvpxkoa7-vxov">
              <w:r>
                <w:rPr>
                  <w:rStyle w:val="Hyperlink"/>
                  <w:color w:val="1a3a5c"/>
                  <w:u w:val="single"/>
                </w:rPr>
                <w:t xml:space="preserve">U.S. Access Board — Chapter 10: Swimming Pools, Wading Pools, and Spas</w:t>
              </w:r>
            </w:hyperlink>
          </w:p>
        </w:tc>
        <w:tc>
          <w:tcPr>
            <w:tcW w:type="dxa" w:w="1000"/>
            <w:shd w:fill="F7F9FB" w:val="clear"/>
            <w:tcMar>
              <w:top w:type="dxa" w:w="80"/>
              <w:left w:type="dxa" w:w="100"/>
              <w:bottom w:type="dxa" w:w="80"/>
              <w:right w:type="dxa" w:w="100"/>
            </w:tcMar>
          </w:tcPr>
          <w:p>
            <w:r>
              <w:rPr>
                <w:b w:val="false"/>
                <w:bCs w:val="false"/>
                <w:color w:val="000000"/>
                <w:sz w:val="20"/>
                <w:szCs w:val="20"/>
              </w:rPr>
              <w:t xml:space="preserve">Accessed 2026-09-05</w:t>
            </w:r>
          </w:p>
        </w:tc>
        <w:tc>
          <w:tcPr>
            <w:tcW w:type="dxa" w:w="1000"/>
            <w:shd w:fill="F7F9FB" w:val="clear"/>
            <w:tcMar>
              <w:top w:type="dxa" w:w="80"/>
              <w:left w:type="dxa" w:w="100"/>
              <w:bottom w:type="dxa" w:w="80"/>
              <w:right w:type="dxa" w:w="100"/>
            </w:tcMar>
          </w:tcPr>
          <w:p>
            <w:r>
              <w:rPr>
                <w:b w:val="false"/>
                <w:bCs w:val="false"/>
                <w:color w:val="000000"/>
                <w:sz w:val="20"/>
                <w:szCs w:val="20"/>
              </w:rPr>
              <w:t xml:space="preserve">HIGH</w:t>
            </w:r>
          </w:p>
        </w:tc>
      </w:tr>
      <w:tr>
        <w:tc>
          <w:tcPr>
            <w:tcW w:type="dxa" w:w="500"/>
            <w:tcMar>
              <w:top w:type="dxa" w:w="80"/>
              <w:left w:type="dxa" w:w="100"/>
              <w:bottom w:type="dxa" w:w="80"/>
              <w:right w:type="dxa" w:w="100"/>
            </w:tcMar>
          </w:tcPr>
          <w:p>
            <w:r>
              <w:rPr>
                <w:b w:val="false"/>
                <w:bCs w:val="false"/>
                <w:color w:val="000000"/>
                <w:sz w:val="20"/>
                <w:szCs w:val="20"/>
              </w:rPr>
              <w:t xml:space="preserve">S3</w:t>
            </w:r>
          </w:p>
        </w:tc>
        <w:tc>
          <w:tcPr>
            <w:tcW w:type="dxa" w:w="2600"/>
            <w:tcMar>
              <w:top w:type="dxa" w:w="80"/>
              <w:left w:type="dxa" w:w="100"/>
              <w:bottom w:type="dxa" w:w="80"/>
              <w:right w:type="dxa" w:w="100"/>
            </w:tcMar>
          </w:tcPr>
          <w:p>
            <w:r>
              <w:rPr>
                <w:b w:val="false"/>
                <w:bCs w:val="false"/>
                <w:color w:val="000000"/>
                <w:sz w:val="20"/>
                <w:szCs w:val="20"/>
              </w:rPr>
              <w:t xml:space="preserve">A typical zero-entry/beach-entry pool slope requires roughly 20–25 feet of horizontal entry-zone length to reach standard swimming depth, versus a stepped entry reaching the same depth in far less horizontal distance</w:t>
            </w:r>
          </w:p>
        </w:tc>
        <w:tc>
          <w:tcPr>
            <w:tcW w:type="dxa" w:w="1900"/>
            <w:tcMar>
              <w:top w:type="dxa" w:w="80"/>
              <w:left w:type="dxa" w:w="100"/>
              <w:bottom w:type="dxa" w:w="80"/>
              <w:right w:type="dxa" w:w="100"/>
            </w:tcMar>
          </w:tcPr>
          <w:p>
            <w:r>
              <w:rPr>
                <w:b w:val="false"/>
                <w:bCs w:val="false"/>
                <w:color w:val="000000"/>
                <w:sz w:val="20"/>
                <w:szCs w:val="20"/>
              </w:rPr>
              <w:t xml:space="preserve">~20–25 ft of entry-zone length</w:t>
            </w:r>
          </w:p>
        </w:tc>
        <w:tc>
          <w:tcPr>
            <w:tcW w:type="dxa" w:w="2500"/>
            <w:tcMar>
              <w:top w:type="dxa" w:w="80"/>
              <w:left w:type="dxa" w:w="100"/>
              <w:bottom w:type="dxa" w:w="80"/>
              <w:right w:type="dxa" w:w="100"/>
            </w:tcMar>
          </w:tcPr>
          <w:p>
            <w:hyperlink w:history="1" r:id="rId2qtugbku0vnj4czkai-n0">
              <w:r>
                <w:rPr>
                  <w:rStyle w:val="Hyperlink"/>
                  <w:color w:val="1a3a5c"/>
                  <w:u w:val="single"/>
                </w:rPr>
                <w:t xml:space="preserve">R&amp;R Swimming Pools — What Is a Zero Entry Pool? Design, Cost, and Benefits</w:t>
              </w:r>
            </w:hyperlink>
          </w:p>
        </w:tc>
        <w:tc>
          <w:tcPr>
            <w:tcW w:type="dxa" w:w="1000"/>
            <w:tcMar>
              <w:top w:type="dxa" w:w="80"/>
              <w:left w:type="dxa" w:w="100"/>
              <w:bottom w:type="dxa" w:w="80"/>
              <w:right w:type="dxa" w:w="100"/>
            </w:tcMar>
          </w:tcPr>
          <w:p>
            <w:r>
              <w:rPr>
                <w:b w:val="false"/>
                <w:bCs w:val="false"/>
                <w:color w:val="000000"/>
                <w:sz w:val="20"/>
                <w:szCs w:val="20"/>
              </w:rPr>
              <w:t xml:space="preserve">Accessed 2026-09-05</w:t>
            </w:r>
          </w:p>
        </w:tc>
        <w:tc>
          <w:tcPr>
            <w:tcW w:type="dxa" w:w="1000"/>
            <w:tcMar>
              <w:top w:type="dxa" w:w="80"/>
              <w:left w:type="dxa" w:w="100"/>
              <w:bottom w:type="dxa" w:w="80"/>
              <w:right w:type="dxa" w:w="100"/>
            </w:tcMar>
          </w:tcPr>
          <w:p>
            <w:r>
              <w:rPr>
                <w:b w:val="false"/>
                <w:bCs w:val="false"/>
                <w:color w:val="000000"/>
                <w:sz w:val="20"/>
                <w:szCs w:val="20"/>
              </w:rPr>
              <w:t xml:space="preserve">MEDIUM</w:t>
            </w:r>
          </w:p>
        </w:tc>
      </w:tr>
    </w:tbl>
    <w:p>
      <w:pPr>
        <w:pStyle w:val="Heading3"/>
        <w:spacing w:after="100" w:before="180"/>
      </w:pPr>
      <w:r>
        <w:rPr>
          <w:b/>
          <w:bCs/>
          <w:color w:val="1a3a5c"/>
          <w:sz w:val="22"/>
          <w:szCs w:val="22"/>
        </w:rPr>
        <w:t xml:space="preserve">Appendix F — "How To…" Math Questions To Research</w:t>
      </w:r>
    </w:p>
    <w:p>
      <w:pPr>
        <w:spacing w:after="160"/>
      </w:pPr>
      <w:r>
        <w:rPr>
          <w:b/>
          <w:bCs/>
        </w:rPr>
        <w:t xml:space="preserve">Vocabulary</w:t>
      </w:r>
    </w:p>
    <w:p>
      <w:pPr>
        <w:spacing w:after="160"/>
      </w:pPr>
      <w:r>
        <w:t xml:space="preserve">Depth · Digit</w:t>
      </w:r>
    </w:p>
    <w:p>
      <w:pPr>
        <w:spacing w:after="160"/>
      </w:pPr>
      <w:r>
        <w:rPr>
          <w:b/>
          <w:bCs/>
        </w:rPr>
        <w:t xml:space="preserve">How to…</w:t>
      </w:r>
    </w:p>
    <w:p>
      <w:pPr>
        <w:pStyle w:val="ListParagraph"/>
        <w:numPr>
          <w:ilvl w:val="0"/>
          <w:numId w:val="3"/>
        </w:numPr>
        <w:spacing w:after="100"/>
      </w:pPr>
      <w:r>
        <w:t xml:space="preserve">How to compare two or more values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abstractNum w:abstractNumId="3" w15:restartNumberingAfterBreak="0">
    <w:multiLevelType w:val="hybridMultilevel"/>
    <w:lvl w:ilvl="0" w15:tentative="1">
      <w:start w:val="1"/>
      <w:numFmt w:val="decimal"/>
      <w:lvlText w:val="%1."/>
      <w:lvlJc w:val="left"/>
      <w:pPr>
        <w:ind w:left="360" w:hanging="2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rbnpeg1_s6fi811mcd_n" Type="http://schemas.openxmlformats.org/officeDocument/2006/relationships/hyperlink" Target="https://www.cdc.gov/drowning/data-research/facts/index.html" TargetMode="External"/><Relationship Id="rIdnpicfkltnsn-2tpcihz0s" Type="http://schemas.openxmlformats.org/officeDocument/2006/relationships/hyperlink" Target="https://www.access-board.gov/ada/guides/chapter-10-swimming-pools-wading-pools-and-spas/" TargetMode="External"/><Relationship Id="rIddn0ejxrwcugw0ge_lhhe3" Type="http://schemas.openxmlformats.org/officeDocument/2006/relationships/hyperlink" Target="https://www.cdc.gov/drowning/data-research/facts/index.html" TargetMode="External"/><Relationship Id="rIdmxtkbckdyvpxkoa7-vxov" Type="http://schemas.openxmlformats.org/officeDocument/2006/relationships/hyperlink" Target="https://www.access-board.gov/ada/guides/chapter-10-swimming-pools-wading-pools-and-spas/" TargetMode="External"/><Relationship Id="rId2qtugbku0vnj4czkai-n0" Type="http://schemas.openxmlformats.org/officeDocument/2006/relationships/hyperlink" Target="https://randrswimmingpools.com/what-is-a-zero-entry-pool-design-cost-and-benefits/"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2026-09-06T12:11:32.422Z</dcterms:created>
  <dcterms:modified xsi:type="dcterms:W3CDTF">2026-09-06T12:11:32.426Z</dcterms:modified>
</cp:coreProperties>
</file>

<file path=docProps/custom.xml><?xml version="1.0" encoding="utf-8"?>
<Properties xmlns="http://schemas.openxmlformats.org/officeDocument/2006/custom-properties" xmlns:vt="http://schemas.openxmlformats.org/officeDocument/2006/docPropsVTypes"/>
</file>