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Facilitator Guide: The Deep End</w:t>
      </w:r>
    </w:p>
    <w:p>
      <w:pPr>
        <w:spacing w:after="40"/>
        <w:jc w:val="center"/>
      </w:pPr>
      <w:r>
        <w:rPr>
          <w:b/>
          <w:bCs/>
          <w:color w:val="a3312a"/>
          <w:sz w:val="20"/>
          <w:szCs w:val="20"/>
        </w:rPr>
        <w:t xml:space="preserve">FACILITATOR-ONLY — do not distribute to students</w:t>
      </w:r>
    </w:p>
    <w:p>
      <w:pPr>
        <w:spacing w:after="300"/>
        <w:jc w:val="center"/>
      </w:pPr>
      <w:r>
        <w:rPr>
          <w:i/>
          <w:iCs/>
          <w:color w:val="5b6472"/>
          <w:sz w:val="20"/>
          <w:szCs w:val="20"/>
        </w:rPr>
        <w:t xml:space="preserve">MS | Math | Case Study | 2026-27 | Adventure</w:t>
      </w:r>
    </w:p>
    <w:p>
      <w:pPr>
        <w:spacing w:after="140"/>
      </w:pPr>
      <w:r>
        <w:rPr>
          <w:b/>
          <w:bCs/>
        </w:rPr>
        <w:t xml:space="preserve">Case: The Deep End · Tier: T1 · Band: MS-entry · Studio: MS Adventure</w:t>
      </w:r>
    </w:p>
    <w:p>
      <w:pPr>
        <w:spacing w:after="140"/>
      </w:pPr>
      <w:r>
        <w:t xml:space="preserve">Standards: Number Sense — Depth (n=0, new coverage), Digit (n=0, new coverage), How to compare two or more values (already well covered, reinforcement).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40"/>
            </w:pPr>
            <w:r>
              <w:rPr>
                <w:b/>
                <w:bCs/>
                <w:color w:val="1a3a5c"/>
              </w:rPr>
              <w:t xml:space="preserve">A note on scope — read this before running the room</w:t>
            </w:r>
          </w:p>
          <w:p>
            <w:pPr>
              <w:spacing w:after="140"/>
            </w:pPr>
            <w:r>
              <w:t xml:space="preserve">This is deliberately a lighter, early-track case. Both new-coverage skills are basic elementary vocabulary terms — "Depth" and "Digit" — not multi-step procedures, so the numeric load here is genuinely simple: two short reading-and-labeling tasks (D1, D2) plus one division-and-comparison task (D3). Do not pad the discussion out to feel like a T3/T4 case. The Socratic plan below is scaled down accordingly — the "deep conflict" section is a single thread, not two or three, because there is only one real thread to pull on at this level.</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40"/>
            </w:pPr>
            <w:r>
              <w:rPr>
                <w:b/>
                <w:bCs/>
                <w:color w:val="1a3a5c"/>
              </w:rPr>
              <w:t xml:space="preserve">Facilitator note — sensitivity (SPEC §6)</w:t>
            </w:r>
          </w:p>
          <w:p>
            <w:pPr>
              <w:spacing w:after="140"/>
            </w:pPr>
            <w:r>
              <w:t xml:space="preserve">This case's 8.0% base margin is genuinely thin: a Tier 2 Probe 5 sweep found the verdict flips (or the margin exceeds the SPEC §2 20% cap) under a ±50% swing on EACH of the four stated Modeling-Assumption dials (total_weekly_hours, reserved_hours_a, footprint_a, footprint_b — all disclosed under Category X: no engineering/staffing plan exists yet for either design, since the rebuild has not broken ground, so each figure is a documented good-faith scenario estimate rather than a number this specific facility has published). This is disclosed, not eliminated — say the verdict is genuinely fragile, do not defend the 8.0% margin as a stable fact. This case also touches disability access and childhood-safety themes — a one-line flag for the discussion lead, though the stakes here are comparatively low (a civic facility-design decision, not illness or hardship).</w:t>
            </w:r>
          </w:p>
        </w:tc>
      </w:tr>
    </w:tbl>
    <w:p>
      <w:pPr>
        <w:pStyle w:val="Heading2"/>
        <w:spacing w:after="120" w:before="220"/>
      </w:pPr>
      <w:r>
        <w:rPr>
          <w:b/>
          <w:bCs/>
          <w:color w:val="1a3a5c"/>
          <w:sz w:val="26"/>
          <w:szCs w:val="26"/>
        </w:rPr>
        <w:t xml:space="preserve">The Real Numbers (facilitator reference — never appears in case.md)</w:t>
      </w:r>
    </w:p>
    <w:p>
      <w:pPr>
        <w:pStyle w:val="ListParagraph"/>
        <w:numPr>
          <w:ilvl w:val="0"/>
          <w:numId w:val="2"/>
        </w:numPr>
        <w:spacing w:after="100"/>
      </w:pPr>
      <w:r>
        <w:t xml:space="preserve">Rate_A = 45 hrs/week ÷ 2,700 sq ft = 0.016667 hours per square foot (Deep-End Design).</w:t>
      </w:r>
    </w:p>
    <w:p>
      <w:pPr>
        <w:pStyle w:val="ListParagraph"/>
        <w:numPr>
          <w:ilvl w:val="0"/>
          <w:numId w:val="2"/>
        </w:numPr>
        <w:spacing w:after="100"/>
      </w:pPr>
      <w:r>
        <w:t xml:space="preserve">Rate_B = 63 hrs/week ÷ 3,500 sq ft = 0.018 hours per square foot (Zero-Entry Ramp Design).</w:t>
      </w:r>
    </w:p>
    <w:p>
      <w:pPr>
        <w:pStyle w:val="ListParagraph"/>
        <w:numPr>
          <w:ilvl w:val="0"/>
          <w:numId w:val="2"/>
        </w:numPr>
        <w:spacing w:after="100"/>
      </w:pPr>
      <w:r>
        <w:t xml:space="preserve">Margin: 8.0% in the Zero-Entry Ramp Design's favor (well inside the SPEC §2 20% cap).</w:t>
      </w:r>
    </w:p>
    <w:p>
      <w:pPr>
        <w:pStyle w:val="ListParagraph"/>
        <w:numPr>
          <w:ilvl w:val="0"/>
          <w:numId w:val="2"/>
        </w:numPr>
        <w:spacing w:after="100"/>
      </w:pPr>
      <w:r>
        <w:t xml:space="preserve">Why this stays a genuine two-sided case, not a landslide: the Deep-End Design's absolute footprint (2,700 sq ft) and construction cost are meaningfully smaller (23% less basin area), and it is the only design that gives the swim team a real, exclusive practice window. The ramp's advantage is real and computed, but it is a rate advantage bought with meaningfully more basin area to build and maintain — both arguments are quantitatively live.</w:t>
      </w:r>
    </w:p>
    <w:p>
      <w:pPr>
        <w:pStyle w:val="ListParagraph"/>
        <w:numPr>
          <w:ilvl w:val="0"/>
          <w:numId w:val="2"/>
        </w:numPr>
        <w:spacing w:after="100"/>
      </w:pPr>
      <w:r>
        <w:t xml:space="preserve">This margin is genuinely fragile — say so, don't defend 8.0% as a stable fact. A 50% smaller Deep-End footprint (1,350 sq ft) flips the winner back to the Deep-End Design at an 85% margin; a 50% larger reserved-practice block (27 hrs/week) pushes the Ramp's margin to 35%. Treat 8.0% as "the best estimate given numbers nobody has actually finalized yet," which is the honest position.</w:t>
      </w:r>
    </w:p>
    <w:p>
      <w:pPr>
        <w:pStyle w:val="Heading2"/>
        <w:spacing w:after="120" w:before="220"/>
      </w:pPr>
      <w:r>
        <w:rPr>
          <w:b/>
          <w:bCs/>
          <w:color w:val="1a3a5c"/>
          <w:sz w:val="26"/>
          <w:szCs w:val="26"/>
        </w:rPr>
        <w:t xml:space="preserve">Intro</w:t>
      </w:r>
    </w:p>
    <w:p>
      <w:pPr>
        <w:spacing w:after="140"/>
      </w:pPr>
      <w:r>
        <w:t xml:space="preserve">Frame the format before anything else: this is a real council vote in two weeks, not a worksheet — whichever design the room recommends is the one that gets built, with no do-over. Name the opener: "You're Carla Whitfield. The council votes on your recommendation. There's no third design and no 'let's revisit it next year.'" Let the two stakeholders in the Overview — the swim-team parent and the wheelchair-using resident — both land before moving to the Launch.</w:t>
      </w:r>
    </w:p>
    <w:p>
      <w:pPr>
        <w:pStyle w:val="Heading2"/>
        <w:spacing w:after="120" w:before="220"/>
      </w:pPr>
      <w:r>
        <w:rPr>
          <w:b/>
          <w:bCs/>
          <w:color w:val="1a3a5c"/>
          <w:sz w:val="26"/>
          <w:szCs w:val="26"/>
        </w:rPr>
        <w:t xml:space="preserve">Launch</w:t>
      </w:r>
    </w:p>
    <w:p>
      <w:pPr>
        <w:spacing w:after="140"/>
      </w:pPr>
      <w:r>
        <w:t xml:space="preserve">Read the two design nicknames out loud with no numbers attached yet — the Deep-End Design and the Zero-Entry Ramp Design. Ask: "If all you knew was those two names and the two people who spoke at the meeting, which side would you be on right now, and why?" Take answers without correcting anyone. Most rooms will split along a "the team earned that pool" vs. "everyone should be able to get in" line — record that split, because the case's job is to replace both gut reactions with an actual number.</w:t>
      </w:r>
    </w:p>
    <w:p>
      <w:pPr>
        <w:pStyle w:val="Heading2"/>
        <w:spacing w:after="120" w:before="220"/>
      </w:pPr>
      <w:r>
        <w:rPr>
          <w:b/>
          <w:bCs/>
          <w:color w:val="1a3a5c"/>
          <w:sz w:val="26"/>
          <w:szCs w:val="26"/>
        </w:rPr>
        <w:t xml:space="preserve">Anchor 1 — Take a Stand and Vote</w:t>
      </w:r>
    </w:p>
    <w:p>
      <w:pPr>
        <w:spacing w:after="140"/>
      </w:pPr>
      <w:r>
        <w:rPr>
          <w:b/>
          <w:bCs/>
        </w:rPr>
        <w:t xml:space="preserve">TAKE A STAND AND VOTE. No reasoning yet, just commit.</w:t>
      </w:r>
    </w:p>
    <w:p>
      <w:pPr>
        <w:spacing w:after="140"/>
      </w:pPr>
      <w:r>
        <w:t xml:space="preserve">"Is anyone courageous enough to stand with the Zero-Entry Ramp Design — the one with no diving well?" Show of hands, both options, no discussion. Record the count — Close will ask again.</w:t>
      </w:r>
    </w:p>
    <w:p>
      <w:pPr>
        <w:pStyle w:val="Heading2"/>
        <w:spacing w:after="120" w:before="220"/>
      </w:pPr>
      <w:r>
        <w:rPr>
          <w:b/>
          <w:bCs/>
          <w:color w:val="1a3a5c"/>
          <w:sz w:val="26"/>
          <w:szCs w:val="26"/>
        </w:rPr>
        <w:t xml:space="preserve">Anchor 2 — What Is The Problem We're Solving?</w:t>
      </w:r>
    </w:p>
    <w:p>
      <w:pPr>
        <w:spacing w:after="140"/>
      </w:pPr>
      <w:r>
        <w:rPr>
          <w:b/>
          <w:bCs/>
        </w:rPr>
        <w:t xml:space="preserve">"Is 'which design has more square feet' the right question?" · "What do you mean by 'accessible' — accessible to whoever's already there, or accessible at every scheduled hour?"</w:t>
      </w:r>
    </w:p>
    <w:p>
      <w:pPr>
        <w:spacing w:after="140"/>
      </w:pPr>
      <w:r>
        <w:t xml:space="preserve">Push the room to state the actual metric before touching an appendix: not "which design is bigger" and not "which design costs less," but supervised swim-hours delivered to the pool's actual user base per square foot of footprint it uses. If the room lands on "we can't compare these by total hours or total footprint alone — we need a rate," the case is working as designed.</w:t>
      </w:r>
    </w:p>
    <w:p>
      <w:pPr>
        <w:pStyle w:val="Heading2"/>
        <w:spacing w:after="120" w:before="220"/>
      </w:pPr>
      <w:r>
        <w:rPr>
          <w:b/>
          <w:bCs/>
          <w:color w:val="1a3a5c"/>
          <w:sz w:val="26"/>
          <w:szCs w:val="26"/>
        </w:rPr>
        <w:t xml:space="preserve">Anchor 3 — What Is The Process?</w:t>
      </w:r>
    </w:p>
    <w:p>
      <w:pPr>
        <w:spacing w:after="140"/>
      </w:pPr>
      <w:r>
        <w:rPr>
          <w:b/>
          <w:bCs/>
        </w:rPr>
        <w:t xml:space="preserve">"If we go through this process and find the data, how will we decide?"</w:t>
      </w:r>
    </w:p>
    <w:p>
      <w:pPr>
        <w:spacing w:after="140"/>
      </w:pPr>
      <w:r>
        <w:t xml:space="preserve">Make the room name the steps before opening an appendix: (1) read each design's posted depth figures correctly — whole feet for the gauge, tenths of a foot for the ramp markers, (2) find each design's weekly hours actually open to the general supervised user base, (3) find each design's footprint, (4) divide hours by footprint for each design, (5) compare the two rates and recommend. Re-ask: "Now that we can see the steps, is our question still the right one?"</w:t>
      </w:r>
    </w:p>
    <w:p>
      <w:pPr>
        <w:pStyle w:val="Heading2"/>
        <w:spacing w:after="120" w:before="220"/>
      </w:pPr>
      <w:r>
        <w:rPr>
          <w:b/>
          <w:bCs/>
          <w:color w:val="1a3a5c"/>
          <w:sz w:val="26"/>
          <w:szCs w:val="26"/>
        </w:rPr>
        <w:t xml:space="preserve">Anchor 4 — What Don't We Know?</w:t>
      </w:r>
    </w:p>
    <w:p>
      <w:pPr>
        <w:spacing w:after="140"/>
      </w:pPr>
      <w:r>
        <w:rPr>
          <w:b/>
          <w:bCs/>
        </w:rPr>
        <w:t xml:space="preserve">"Do we need to make assumptions? Which ones are critical?"</w:t>
      </w:r>
    </w:p>
    <w:p>
      <w:pPr>
        <w:spacing w:after="140"/>
      </w:pPr>
      <w:r>
        <w:t xml:space="preserve">Surface the honest gap: Appendix C's weekly-hours figures and both footprints are stated modeling assumptions, not sourced numbers — no engineering drawing or staffing plan exists yet for either design. Ask: "If the ramp's footprint were smaller than assumed, or the reserved swim-team block were shorter, would that change which design wins on this rate — or just how close the two designs are?" A sharp Hero should be able to say it could genuinely go either way; this case's own two Modeling Assumptions are the most defensible numbers in it for a Hero to push back on.</w:t>
      </w:r>
    </w:p>
    <w:p>
      <w:pPr>
        <w:pStyle w:val="Heading2"/>
        <w:spacing w:after="120" w:before="220"/>
      </w:pPr>
      <w:r>
        <w:rPr>
          <w:b/>
          <w:bCs/>
          <w:color w:val="1a3a5c"/>
          <w:sz w:val="26"/>
          <w:szCs w:val="26"/>
        </w:rPr>
        <w:t xml:space="preserve">Data Deep Dive</w:t>
      </w:r>
    </w:p>
    <w:p>
      <w:pPr>
        <w:spacing w:after="140"/>
      </w:pPr>
      <w:r>
        <w:t xml:space="preserve">Now, and only now, open Appendices A–C and work D1–D3. Cold-call for D1 and D2 first — a Hero who reports a ramp marker as "2.6" but cannot say what the 6 means (six-tenths of a foot beyond the 2-foot mark) has not actually done D2's second half, only copied a number.</w:t>
      </w:r>
    </w:p>
    <w:p>
      <w:pPr>
        <w:spacing w:after="140"/>
      </w:pPr>
      <w:r>
        <w:rPr>
          <w:i/>
          <w:iCs/>
        </w:rPr>
        <w:t xml:space="preserve">Facilitator-only arithmetic note. Deep-End accessible hours: 63 − 18 = 45 hrs/week. Rate_A = 45 / 2,700 = 0.016667 hrs/sq ft. Rate_B = 63 / 3,500 = 0.018 hrs/sq ft.</w:t>
      </w:r>
    </w:p>
    <w:p>
      <w:pPr>
        <w:pStyle w:val="Heading2"/>
        <w:spacing w:after="120" w:before="220"/>
      </w:pPr>
      <w:r>
        <w:rPr>
          <w:b/>
          <w:bCs/>
          <w:color w:val="1a3a5c"/>
          <w:sz w:val="26"/>
          <w:szCs w:val="26"/>
        </w:rPr>
        <w:t xml:space="preserve">Twist</w:t>
      </w:r>
    </w:p>
    <w:p>
      <w:pPr>
        <w:spacing w:after="140"/>
      </w:pPr>
      <w:r>
        <w:rPr>
          <w:b/>
          <w:bCs/>
        </w:rPr>
        <w:t xml:space="preserve">Twist: N/A.</w:t>
      </w:r>
    </w:p>
    <w:p>
      <w:pPr>
        <w:spacing w:after="140"/>
      </w:pPr>
      <w:r>
        <w:t xml:space="preserve">This case's tension is a genuine, already-fully-disclosed two-variable trade-off (a smaller footprint with a reserved-use block vs. a larger footprint with no reserved-use block) that resolves entirely through the division-and-comparison the Challenges already require — there is no additional real-world fact withheld from Appendices A–C whose reveal at the 15-minute mark would invalidate a popular position without either leaking the margin's size/direction into case.md or inventing a number the research pass didn't source. The Data Deep Dive's own D3 rate reveal (many rooms expect the smaller-footprint design to automatically be "more efficient"; the ramp design is actually the higher rate once the reserved hours are subtracted) already produces the surprise-and-recompute moment a Twist is meant to create, without adding new information — see Immediate Recommit below, which carries that weight instead. Given this is deliberately a lighter, early-track case, adding a second withheld fact on top of the rate reveal would over-complicate a case that is supposed to stay simple.</w:t>
      </w:r>
    </w:p>
    <w:p>
      <w:pPr>
        <w:pStyle w:val="Heading2"/>
        <w:spacing w:after="120" w:before="220"/>
      </w:pPr>
      <w:r>
        <w:rPr>
          <w:b/>
          <w:bCs/>
          <w:color w:val="1a3a5c"/>
          <w:sz w:val="26"/>
          <w:szCs w:val="26"/>
        </w:rPr>
        <w:t xml:space="preserve">Immediate Recommit</w:t>
      </w:r>
    </w:p>
    <w:p>
      <w:pPr>
        <w:spacing w:after="140"/>
      </w:pPr>
      <w:r>
        <w:t xml:space="preserve">Right after D3's two rates land on the board, ask by name: "The Zero-Entry Ramp actually comes out ahead on hours per square foot, even though it costs more to build — did you expect that before you did the division? Does it change your vote?" Many Heroes who voted Deep-End at Anchor 1 on a "smaller footprint must be more efficient" instinct will not have accounted for the reserved practice block; conversely, a Hero who voted Ramp expecting it to "obviously" win by a landslide should recompute and notice the margin is a real but modest 8%, not a rout.</w:t>
      </w:r>
    </w:p>
    <w:p>
      <w:pPr>
        <w:pStyle w:val="Heading2"/>
        <w:spacing w:after="120" w:before="220"/>
      </w:pPr>
      <w:r>
        <w:rPr>
          <w:b/>
          <w:bCs/>
          <w:color w:val="1a3a5c"/>
          <w:sz w:val="26"/>
          <w:szCs w:val="26"/>
        </w:rPr>
        <w:t xml:space="preserve">Deep Conflict — One Thread</w:t>
      </w:r>
    </w:p>
    <w:p>
      <w:pPr>
        <w:spacing w:after="140"/>
      </w:pPr>
      <w:r>
        <w:rPr>
          <w:b/>
          <w:bCs/>
        </w:rPr>
        <w:t xml:space="preserve">What the rate does and doesn't decide.</w:t>
      </w:r>
    </w:p>
    <w:p>
      <w:pPr>
        <w:spacing w:after="140"/>
      </w:pPr>
      <w:r>
        <w:t xml:space="preserve">Push past "the ramp wins the math, so that's the recommendation" to the harder, honest point: the swim team is a real, existing group of students who will lose their only dedicated practice window under Option B, and the council has to weigh that loss against the ramp's real efficiency and accessibility advantage. Ask: "The numbers say the ramp delivers more supervised swim-hours per square foot to the general user base. Does that settle the question by itself, or does Carla still have a judgment call to make?" There is no single correct answer; the point is that the rate makes the trade-off precise, it does not remove the trade-off.</w:t>
      </w:r>
    </w:p>
    <w:p>
      <w:pPr>
        <w:pStyle w:val="Heading2"/>
        <w:spacing w:after="120" w:before="220"/>
      </w:pPr>
      <w:r>
        <w:rPr>
          <w:b/>
          <w:bCs/>
          <w:color w:val="1a3a5c"/>
          <w:sz w:val="26"/>
          <w:szCs w:val="26"/>
        </w:rPr>
        <w:t xml:space="preserve">45-Minute Socratic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a3a5c" w:val="clear"/>
            <w:tcMar>
              <w:top w:type="dxa" w:w="80"/>
              <w:left w:type="dxa" w:w="100"/>
              <w:bottom w:type="dxa" w:w="80"/>
              <w:right w:type="dxa" w:w="100"/>
            </w:tcMar>
          </w:tcPr>
          <w:p>
            <w:r>
              <w:rPr>
                <w:b/>
                <w:bCs/>
                <w:color w:val="FFFFFF"/>
                <w:sz w:val="20"/>
                <w:szCs w:val="20"/>
              </w:rPr>
              <w:t xml:space="preserve">Time</w:t>
            </w:r>
          </w:p>
        </w:tc>
        <w:tc>
          <w:tcPr>
            <w:tcW w:type="dxa" w:w="7900"/>
            <w:shd w:fill="1a3a5c" w:val="clear"/>
            <w:tcMar>
              <w:top w:type="dxa" w:w="80"/>
              <w:left w:type="dxa" w:w="100"/>
              <w:bottom w:type="dxa" w:w="80"/>
              <w:right w:type="dxa" w:w="100"/>
            </w:tcMar>
          </w:tcPr>
          <w:p>
            <w:r>
              <w:rPr>
                <w:b/>
                <w:bCs/>
                <w:color w:val="FFFFFF"/>
                <w:sz w:val="20"/>
                <w:szCs w:val="20"/>
              </w:rPr>
              <w:t xml:space="preserve">Move</w:t>
            </w:r>
          </w:p>
        </w:tc>
      </w:tr>
      <w:tr>
        <w:tc>
          <w:tcPr>
            <w:tcW w:type="dxa" w:w="1600"/>
            <w:tcMar>
              <w:top w:type="dxa" w:w="80"/>
              <w:left w:type="dxa" w:w="100"/>
              <w:bottom w:type="dxa" w:w="80"/>
              <w:right w:type="dxa" w:w="100"/>
            </w:tcMar>
          </w:tcPr>
          <w:p>
            <w:r>
              <w:rPr>
                <w:b w:val="false"/>
                <w:bCs w:val="false"/>
                <w:color w:val="000000"/>
                <w:sz w:val="20"/>
                <w:szCs w:val="20"/>
              </w:rPr>
              <w:t xml:space="preserve">0:00–3:00</w:t>
            </w:r>
          </w:p>
        </w:tc>
        <w:tc>
          <w:tcPr>
            <w:tcW w:type="dxa" w:w="7900"/>
            <w:tcMar>
              <w:top w:type="dxa" w:w="80"/>
              <w:left w:type="dxa" w:w="100"/>
              <w:bottom w:type="dxa" w:w="80"/>
              <w:right w:type="dxa" w:w="100"/>
            </w:tcMar>
          </w:tcPr>
          <w:p>
            <w:r>
              <w:rPr>
                <w:b w:val="false"/>
                <w:bCs w:val="false"/>
                <w:color w:val="000000"/>
                <w:sz w:val="20"/>
                <w:szCs w:val="20"/>
              </w:rPr>
              <w:t xml:space="preserve">Launch — read both design nicknames with no numbers, cold-call for a gut read.</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3:00–8:00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Position defense — "Walk us through the depth reading you'd trust more, whole feet or tenths of a foot — and why does that matter for safety, not just precision?"</w:t>
            </w:r>
          </w:p>
        </w:tc>
      </w:tr>
      <w:tr>
        <w:tc>
          <w:tcPr>
            <w:tcW w:type="dxa" w:w="1600"/>
            <w:tcMar>
              <w:top w:type="dxa" w:w="80"/>
              <w:left w:type="dxa" w:w="100"/>
              <w:bottom w:type="dxa" w:w="80"/>
              <w:right w:type="dxa" w:w="100"/>
            </w:tcMar>
          </w:tcPr>
          <w:p>
            <w:r>
              <w:rPr>
                <w:b w:val="false"/>
                <w:bCs w:val="false"/>
                <w:color w:val="000000"/>
                <w:sz w:val="20"/>
                <w:szCs w:val="20"/>
              </w:rPr>
              <w:t xml:space="preserve">8:00–15:00</w:t>
            </w:r>
          </w:p>
        </w:tc>
        <w:tc>
          <w:tcPr>
            <w:tcW w:type="dxa" w:w="7900"/>
            <w:tcMar>
              <w:top w:type="dxa" w:w="80"/>
              <w:left w:type="dxa" w:w="100"/>
              <w:bottom w:type="dxa" w:w="80"/>
              <w:right w:type="dxa" w:w="100"/>
            </w:tcMar>
          </w:tcPr>
          <w:p>
            <w:r>
              <w:rPr>
                <w:b w:val="false"/>
                <w:bCs w:val="false"/>
                <w:color w:val="000000"/>
                <w:sz w:val="20"/>
                <w:szCs w:val="20"/>
              </w:rPr>
              <w:t xml:space="preserve">Pressure-test the process — "Which of your Appendix C numbers, if it changed, would flip which design wins the rate — and which wouldn't change the winner at all?"</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15:00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DROP THE TWIST (N/A — instead, land the D3 rate reveal) — the smaller-footprint design does not win the rate.</w:t>
            </w:r>
          </w:p>
        </w:tc>
      </w:tr>
      <w:tr>
        <w:tc>
          <w:tcPr>
            <w:tcW w:type="dxa" w:w="1600"/>
            <w:tcMar>
              <w:top w:type="dxa" w:w="80"/>
              <w:left w:type="dxa" w:w="100"/>
              <w:bottom w:type="dxa" w:w="80"/>
              <w:right w:type="dxa" w:w="100"/>
            </w:tcMar>
          </w:tcPr>
          <w:p>
            <w:r>
              <w:rPr>
                <w:b w:val="false"/>
                <w:bCs w:val="false"/>
                <w:color w:val="000000"/>
                <w:sz w:val="20"/>
                <w:szCs w:val="20"/>
              </w:rPr>
              <w:t xml:space="preserve">15:00–20:00</w:t>
            </w:r>
          </w:p>
        </w:tc>
        <w:tc>
          <w:tcPr>
            <w:tcW w:type="dxa" w:w="7900"/>
            <w:tcMar>
              <w:top w:type="dxa" w:w="80"/>
              <w:left w:type="dxa" w:w="100"/>
              <w:bottom w:type="dxa" w:w="80"/>
              <w:right w:type="dxa" w:w="100"/>
            </w:tcMar>
          </w:tcPr>
          <w:p>
            <w:r>
              <w:rPr>
                <w:b w:val="false"/>
                <w:bCs w:val="false"/>
                <w:color w:val="000000"/>
                <w:sz w:val="20"/>
                <w:szCs w:val="20"/>
              </w:rPr>
              <w:t xml:space="preserve">Immediate recommit — does the exact rate change anyone's vote.</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20:00–35:00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Deep conflict, one thread — does the rate settle the question, or is there still a judgment call.</w:t>
            </w:r>
          </w:p>
        </w:tc>
      </w:tr>
      <w:tr>
        <w:tc>
          <w:tcPr>
            <w:tcW w:type="dxa" w:w="1600"/>
            <w:tcMar>
              <w:top w:type="dxa" w:w="80"/>
              <w:left w:type="dxa" w:w="100"/>
              <w:bottom w:type="dxa" w:w="80"/>
              <w:right w:type="dxa" w:w="100"/>
            </w:tcMar>
          </w:tcPr>
          <w:p>
            <w:r>
              <w:rPr>
                <w:b w:val="false"/>
                <w:bCs w:val="false"/>
                <w:color w:val="000000"/>
                <w:sz w:val="20"/>
                <w:szCs w:val="20"/>
              </w:rPr>
              <w:t xml:space="preserve">35:00–45:00</w:t>
            </w:r>
          </w:p>
        </w:tc>
        <w:tc>
          <w:tcPr>
            <w:tcW w:type="dxa" w:w="7900"/>
            <w:tcMar>
              <w:top w:type="dxa" w:w="80"/>
              <w:left w:type="dxa" w:w="100"/>
              <w:bottom w:type="dxa" w:w="80"/>
              <w:right w:type="dxa" w:w="100"/>
            </w:tcMar>
          </w:tcPr>
          <w:p>
            <w:r>
              <w:rPr>
                <w:b w:val="false"/>
                <w:bCs w:val="false"/>
                <w:color w:val="000000"/>
                <w:sz w:val="20"/>
                <w:szCs w:val="20"/>
              </w:rPr>
              <w:t xml:space="preserve">Close, re-vote, reflection, lessons learned.</w:t>
            </w:r>
          </w:p>
        </w:tc>
      </w:tr>
    </w:tbl>
    <w:p>
      <w:pPr>
        <w:pStyle w:val="Heading2"/>
        <w:spacing w:after="120" w:before="220"/>
      </w:pPr>
      <w:r>
        <w:rPr>
          <w:b/>
          <w:bCs/>
          <w:color w:val="1a3a5c"/>
          <w:sz w:val="26"/>
          <w:szCs w:val="26"/>
        </w:rPr>
        <w:t xml:space="preserve">Close</w:t>
      </w:r>
    </w:p>
    <w:p>
      <w:pPr>
        <w:spacing w:after="140"/>
      </w:pPr>
      <w:r>
        <w:rPr>
          <w:b/>
          <w:bCs/>
        </w:rPr>
        <w:t xml:space="preserve">VOTE AGAIN.</w:t>
      </w:r>
    </w:p>
    <w:p>
      <w:pPr>
        <w:spacing w:after="140"/>
      </w:pPr>
      <w:r>
        <w:t xml:space="preserve">"Same show of hands — Deep-End or Zero-Entry Ramp. Who moved, and why?" Then ask: "Did we ask the right question at the start, or did it take Anchor 2 to find it?" And: "What math was new to you today, and how did you attack it?" Listen specifically for whether anyone can state, unprompted, that reading a decimal depth marker correctly (naming the tenths digit) was a genuinely different skill from reading a whole-foot gauge, not just "the same thing with more decimals."</w:t>
      </w:r>
    </w:p>
    <w:p>
      <w:pPr>
        <w:pStyle w:val="Heading2"/>
        <w:spacing w:after="120" w:before="220"/>
      </w:pPr>
      <w:r>
        <w:rPr>
          <w:b/>
          <w:bCs/>
          <w:color w:val="1a3a5c"/>
          <w:sz w:val="26"/>
          <w:szCs w:val="26"/>
        </w:rPr>
        <w:t xml:space="preserve">Balance Argument (SPEC §2)</w:t>
      </w:r>
    </w:p>
    <w:p>
      <w:pPr>
        <w:spacing w:after="140"/>
      </w:pPr>
      <w:r>
        <w:rPr>
          <w:b/>
          <w:bCs/>
        </w:rPr>
        <w:t xml:space="preserve">Argument for A (the Deep-End Design).</w:t>
      </w:r>
    </w:p>
    <w:p>
      <w:pPr>
        <w:spacing w:after="140"/>
      </w:pPr>
      <w:r>
        <w:t xml:space="preserve">The Deep-End Design uses 23% less pool footprint (2,700 sq ft vs. 3,500 sq ft) to build, permit, and maintain, and it is the only design that gives the city's competitive swim team a dedicated, exclusive practice window (18 hours/week) — a real, organized constituency with nowhere else in the city to train. Even though its general-access rate per square foot (45 hrs / 2,700 sq ft = 0.01667 hrs/sq ft) trails the ramp design, its absolute weekly footprint and construction cost are both smaller, which matters directly to a council balancing a fixed rebuild budget.</w:t>
      </w:r>
    </w:p>
    <w:p>
      <w:pPr>
        <w:spacing w:after="140"/>
      </w:pPr>
      <w:r>
        <w:rPr>
          <w:b/>
          <w:bCs/>
        </w:rPr>
        <w:t xml:space="preserve">Argument for B (the Zero-Entry Ramp Design).</w:t>
      </w:r>
    </w:p>
    <w:p>
      <w:pPr>
        <w:spacing w:after="140"/>
      </w:pPr>
      <w:r>
        <w:t xml:space="preserve">The Zero-Entry Ramp Design delivers every one of its 63 weekly scheduled hours to the general supervised user base, with no exclusive-use block carved out, producing a per-square-foot rate of 63 hrs / 3,500 sq ft = 0.018 hrs/sq ft — a real, computed advantage over the Deep-End Design's 0.01667 hrs/sq ft, even though the ramp's larger footprint costs more to build. It also goes beyond the legal minimum accessible-entry requirement (a portable lift could satisfy that alone) to make every scheduled hour usable by children, seniors, and mobility-limited swimmers without waiting for a lift or a reserved slot.</w:t>
      </w:r>
    </w:p>
    <w:p>
      <w:pPr>
        <w:spacing w:after="140"/>
      </w:pPr>
      <w:r>
        <w:rPr>
          <w:b/>
          <w:bCs/>
        </w:rPr>
        <w:t xml:space="preserve">Margin — 8.0%. Winner: Option B, the Zero-Entry Ramp Design.</w:t>
      </w:r>
    </w:p>
    <w:p>
      <w:pPr>
        <w:spacing w:after="140"/>
      </w:pPr>
      <w:r>
        <w:t xml:space="preserve">Rate_A = weekly accessible hours / footprint = (63 − 18) / 2,700 = 45 / 2,700 = 0.016667 hours per square foot. Rate_B = 63 / 3,500 = 0.018 hours per square foot. margin_pct = 100 × (Rate_B − Rate_A) / Rate_A = 100 × (0.018 − 0.016667) / 0.016667 = 8.0%, in the Zero-Entry Ramp Design's favor — well inside the SPEC §2 20% cap.</w:t>
      </w:r>
    </w:p>
    <w:p>
      <w:pPr>
        <w:pStyle w:val="Heading2"/>
        <w:spacing w:after="120" w:before="220"/>
      </w:pPr>
      <w:r>
        <w:rPr>
          <w:b/>
          <w:bCs/>
          <w:color w:val="1a3a5c"/>
          <w:sz w:val="26"/>
          <w:szCs w:val="26"/>
        </w:rPr>
        <w:t xml:space="preserve">What a Strong Defense Sounds Like</w:t>
      </w:r>
    </w:p>
    <w:p>
      <w:pPr>
        <w:spacing w:after="140"/>
      </w:pPr>
      <w:r>
        <w:t xml:space="preserve">This case has no single right answer, so there is no answer key to grade against — but a strong defense has a recognizable shape regardless of which option a Hero ultimately recommends. It reads Appendix A's gauge readings and Appendix B's ramp markers correctly, at the precision each design actually reports (whole feet vs. tenths of a foot), and can say in real-world terms what a tenths-place digit means rather than just copying the number down. It computes both designs' accessible-hours-per-square-foot rate explicitly (D3) rather than eyeballing which footprint or which raw hour total looks bigger. And it closes with a recommendation that acknowledges the trade-off honestly — the rate favors one design, but the other design is not thereby wrong or foolish to prefer, because a real practice window and a smaller footprint are also real, competing goods.</w:t>
      </w:r>
    </w:p>
    <w:p>
      <w:pPr>
        <w:pStyle w:val="Heading2"/>
        <w:spacing w:after="120" w:before="220"/>
      </w:pPr>
      <w:r>
        <w:rPr>
          <w:b/>
          <w:bCs/>
          <w:color w:val="1a3a5c"/>
          <w:sz w:val="26"/>
          <w:szCs w:val="26"/>
        </w:rPr>
        <w:t xml:space="preserve">The Trap</w:t>
      </w:r>
    </w:p>
    <w:p>
      <w:pPr>
        <w:spacing w:after="140"/>
      </w:pPr>
      <w:r>
        <w:t xml:space="preserve">The plausible wrong path: a Hero sees that the Deep-End Design has a smaller footprint (2,700 vs. 3,500 sq ft) and concludes it must be the more space-efficient choice without ever computing a rate — or compares the two designs' raw weekly hours (45 vs. 63) and picks the ramp for "obviously more hours" without ever dividing by footprint at all. Either shortcut skips the actual metric the case asks for (hours per square foot) and can land on either answer for the wrong reason. Watch for a pitch that never actually shows a division step — that is the tell that a Hero eyeballed the two appendices instead of computing the rate.</w:t>
      </w:r>
    </w:p>
    <w:p>
      <w:pPr>
        <w:pStyle w:val="Heading2"/>
        <w:spacing w:after="120" w:before="220"/>
      </w:pPr>
      <w:r>
        <w:rPr>
          <w:b/>
          <w:bCs/>
          <w:color w:val="1a3a5c"/>
          <w:sz w:val="26"/>
          <w:szCs w:val="26"/>
        </w:rPr>
        <w:t xml:space="preserve">Five Socratic Questions</w:t>
      </w:r>
    </w:p>
    <w:p>
      <w:pPr>
        <w:pStyle w:val="ListParagraph"/>
        <w:numPr>
          <w:ilvl w:val="0"/>
          <w:numId w:val="3"/>
        </w:numPr>
        <w:spacing w:after="120"/>
      </w:pPr>
      <w:r>
        <w:t xml:space="preserve">Your Appendix A gauge only reports whole feet — never a fraction. What real trade-off does that design choice reflect, and would you want a diving well's depth reported any other way?</w:t>
      </w:r>
    </w:p>
    <w:p>
      <w:pPr>
        <w:pStyle w:val="ListParagraph"/>
        <w:numPr>
          <w:ilvl w:val="0"/>
          <w:numId w:val="3"/>
        </w:numPr>
        <w:spacing w:after="120"/>
      </w:pPr>
      <w:r>
        <w:t xml:space="preserve">In your Appendix B table, what does the 6 in a 2.6-foot reading actually mean, in inches or in words — and would a swimmer read that marker differently if it were reported as "2 feet" instead?</w:t>
      </w:r>
    </w:p>
    <w:p>
      <w:pPr>
        <w:pStyle w:val="ListParagraph"/>
        <w:numPr>
          <w:ilvl w:val="0"/>
          <w:numId w:val="3"/>
        </w:numPr>
        <w:spacing w:after="120"/>
      </w:pPr>
      <w:r>
        <w:t xml:space="preserve">The Deep-End Design has a smaller footprint. Why doesn't that alone make it the more space-efficient design once you compute the rate in D3?</w:t>
      </w:r>
    </w:p>
    <w:p>
      <w:pPr>
        <w:pStyle w:val="ListParagraph"/>
        <w:numPr>
          <w:ilvl w:val="0"/>
          <w:numId w:val="3"/>
        </w:numPr>
        <w:spacing w:after="120"/>
      </w:pPr>
      <w:r>
        <w:t xml:space="preserve">Your D3 rate favors the ramp by a real but modest margin. What would have to change in Appendix C — the reserved hours, or either footprint — for that to flip, and how confident are you in those two numbers?</w:t>
      </w:r>
    </w:p>
    <w:p>
      <w:pPr>
        <w:pStyle w:val="ListParagraph"/>
        <w:numPr>
          <w:ilvl w:val="0"/>
          <w:numId w:val="3"/>
        </w:numPr>
        <w:spacing w:after="120"/>
      </w:pPr>
      <w:r>
        <w:t xml:space="preserve">If the council could only afford to build the smaller footprint, is the swim team's exclusive practice window worth more to this city than the ramp's extra accessible hours? Is that a math question or a values question — and how do you tell the difference?</w:t>
      </w:r>
    </w:p>
    <w:p>
      <w:pPr>
        <w:pStyle w:val="Heading2"/>
        <w:spacing w:after="120" w:before="220"/>
      </w:pPr>
      <w:r>
        <w:rPr>
          <w:b/>
          <w:bCs/>
          <w:color w:val="1a3a5c"/>
          <w:sz w:val="26"/>
          <w:szCs w:val="26"/>
        </w:rPr>
        <w:t xml:space="preserve">Lessons Learned</w:t>
      </w:r>
    </w:p>
    <w:p>
      <w:pPr>
        <w:pStyle w:val="ListParagraph"/>
        <w:numPr>
          <w:ilvl w:val="0"/>
          <w:numId w:val="2"/>
        </w:numPr>
        <w:spacing w:after="100"/>
      </w:pPr>
      <w:r>
        <w:t xml:space="preserve">A smaller footprint is not automatically a more efficient use of space — you have to know what fraction of the time that footprint is actually usable by the people it is meant to serve.</w:t>
      </w:r>
    </w:p>
    <w:p>
      <w:pPr>
        <w:pStyle w:val="ListParagraph"/>
        <w:numPr>
          <w:ilvl w:val="0"/>
          <w:numId w:val="2"/>
        </w:numPr>
        <w:spacing w:after="100"/>
      </w:pPr>
      <w:r>
        <w:t xml:space="preserve">Reading a measurement correctly (a whole number vs. a decimal to a stated place) is not just a formatting detail — a gauge that can't show tenths of a foot is making a real design trade-off, not just a display choice.</w:t>
      </w:r>
    </w:p>
    <w:p>
      <w:pPr>
        <w:pStyle w:val="ListParagraph"/>
        <w:numPr>
          <w:ilvl w:val="0"/>
          <w:numId w:val="2"/>
        </w:numPr>
        <w:spacing w:after="100"/>
      </w:pPr>
      <w:r>
        <w:t xml:space="preserve">A rate (hours per square foot) can make two very different-looking designs directly comparable in a way that neither raw total (hours alone, or footprint alone) can.</w:t>
      </w:r>
    </w:p>
    <w:p>
      <w:pPr>
        <w:pStyle w:val="Heading2"/>
        <w:spacing w:after="120" w:before="220"/>
      </w:pPr>
      <w:r>
        <w:rPr>
          <w:b/>
          <w:bCs/>
          <w:color w:val="1a3a5c"/>
          <w:sz w:val="26"/>
          <w:szCs w:val="26"/>
        </w:rPr>
        <w:t xml:space="preserve">Skills Exercised</w:t>
      </w:r>
    </w:p>
    <w:p>
      <w:pPr>
        <w:pStyle w:val="ListParagraph"/>
        <w:numPr>
          <w:ilvl w:val="0"/>
          <w:numId w:val="2"/>
        </w:numPr>
        <w:spacing w:after="100"/>
      </w:pPr>
      <w:r>
        <w:t xml:space="preserve">Depth — reading and labeling a whole-number depth value; identifying a maximum depth from a set of readings.</w:t>
      </w:r>
    </w:p>
    <w:p>
      <w:pPr>
        <w:pStyle w:val="ListParagraph"/>
        <w:numPr>
          <w:ilvl w:val="0"/>
          <w:numId w:val="2"/>
        </w:numPr>
        <w:spacing w:after="100"/>
      </w:pPr>
      <w:r>
        <w:t xml:space="preserve">Digit — naming the digit in a specific place (the tenths place) of a decimal measurement and stating what real-world quantity it represents.</w:t>
      </w:r>
    </w:p>
    <w:p>
      <w:pPr>
        <w:pStyle w:val="ListParagraph"/>
        <w:numPr>
          <w:ilvl w:val="0"/>
          <w:numId w:val="2"/>
        </w:numPr>
        <w:spacing w:after="100"/>
      </w:pPr>
      <w:r>
        <w:t xml:space="preserve">How to compare two or more values — computing and comparing a derived rate (hours per square foot) between two options to support a recommendation.</w:t>
      </w:r>
    </w:p>
    <w:p>
      <w:pPr>
        <w:pStyle w:val="Heading2"/>
        <w:spacing w:after="120" w:before="220"/>
      </w:pPr>
      <w:r>
        <w:rPr>
          <w:b/>
          <w:bCs/>
          <w:color w:val="1a3a5c"/>
          <w:sz w:val="26"/>
          <w:szCs w:val="26"/>
        </w:rPr>
        <w:t xml:space="preserve">Cohort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100"/>
      </w:tblGrid>
      <w:tr>
        <w:trPr>
          <w:tblHeader/>
        </w:trPr>
        <w:tc>
          <w:tcPr>
            <w:tcW w:type="dxa" w:w="1600"/>
            <w:shd w:fill="1a3a5c" w:val="clear"/>
            <w:tcMar>
              <w:top w:type="dxa" w:w="80"/>
              <w:left w:type="dxa" w:w="100"/>
              <w:bottom w:type="dxa" w:w="80"/>
              <w:right w:type="dxa" w:w="100"/>
            </w:tcMar>
          </w:tcPr>
          <w:p>
            <w:r>
              <w:rPr>
                <w:b/>
                <w:bCs/>
                <w:color w:val="FFFFFF"/>
                <w:sz w:val="20"/>
                <w:szCs w:val="20"/>
              </w:rPr>
              <w:t xml:space="preserve">Band</w:t>
            </w:r>
          </w:p>
        </w:tc>
        <w:tc>
          <w:tcPr>
            <w:tcW w:type="dxa" w:w="1800"/>
            <w:shd w:fill="1a3a5c" w:val="clear"/>
            <w:tcMar>
              <w:top w:type="dxa" w:w="80"/>
              <w:left w:type="dxa" w:w="100"/>
              <w:bottom w:type="dxa" w:w="80"/>
              <w:right w:type="dxa" w:w="100"/>
            </w:tcMar>
          </w:tcPr>
          <w:p>
            <w:r>
              <w:rPr>
                <w:b/>
                <w:bCs/>
                <w:color w:val="FFFFFF"/>
                <w:sz w:val="20"/>
                <w:szCs w:val="20"/>
              </w:rPr>
              <w:t xml:space="preserve">Typical Size</w:t>
            </w:r>
          </w:p>
        </w:tc>
        <w:tc>
          <w:tcPr>
            <w:tcW w:type="dxa" w:w="6100"/>
            <w:shd w:fill="1a3a5c" w:val="clear"/>
            <w:tcMar>
              <w:top w:type="dxa" w:w="80"/>
              <w:left w:type="dxa" w:w="100"/>
              <w:bottom w:type="dxa" w:w="80"/>
              <w:right w:type="dxa" w:w="100"/>
            </w:tcMar>
          </w:tcPr>
          <w:p>
            <w:r>
              <w:rPr>
                <w:b/>
                <w:bCs/>
                <w:color w:val="FFFFFF"/>
                <w:sz w:val="20"/>
                <w:szCs w:val="20"/>
              </w:rPr>
              <w:t xml:space="preserve">What Changes</w:t>
            </w:r>
          </w:p>
        </w:tc>
      </w:tr>
      <w:tr>
        <w:tc>
          <w:tcPr>
            <w:tcW w:type="dxa" w:w="1600"/>
            <w:tcMar>
              <w:top w:type="dxa" w:w="80"/>
              <w:left w:type="dxa" w:w="100"/>
              <w:bottom w:type="dxa" w:w="80"/>
              <w:right w:type="dxa" w:w="100"/>
            </w:tcMar>
          </w:tcPr>
          <w:p>
            <w:r>
              <w:rPr>
                <w:b w:val="false"/>
                <w:bCs w:val="false"/>
                <w:color w:val="000000"/>
                <w:sz w:val="20"/>
                <w:szCs w:val="20"/>
              </w:rPr>
              <w:t xml:space="preserve">Full (12–20)</w:t>
            </w:r>
          </w:p>
        </w:tc>
        <w:tc>
          <w:tcPr>
            <w:tcW w:type="dxa" w:w="1800"/>
            <w:tcMar>
              <w:top w:type="dxa" w:w="80"/>
              <w:left w:type="dxa" w:w="100"/>
              <w:bottom w:type="dxa" w:w="80"/>
              <w:right w:type="dxa" w:w="100"/>
            </w:tcMar>
          </w:tcPr>
          <w:p>
            <w:r>
              <w:rPr>
                <w:b w:val="false"/>
                <w:bCs w:val="false"/>
                <w:color w:val="000000"/>
                <w:sz w:val="20"/>
                <w:szCs w:val="20"/>
              </w:rPr>
              <w:t xml:space="preserve">the size this plan is written for</w:t>
            </w:r>
          </w:p>
        </w:tc>
        <w:tc>
          <w:tcPr>
            <w:tcW w:type="dxa" w:w="6100"/>
            <w:tcMar>
              <w:top w:type="dxa" w:w="80"/>
              <w:left w:type="dxa" w:w="100"/>
              <w:bottom w:type="dxa" w:w="80"/>
              <w:right w:type="dxa" w:w="100"/>
            </w:tcMar>
          </w:tcPr>
          <w:p>
            <w:r>
              <w:rPr>
                <w:b w:val="false"/>
                <w:bCs w:val="false"/>
                <w:color w:val="000000"/>
                <w:sz w:val="20"/>
                <w:szCs w:val="20"/>
              </w:rPr>
              <w:t xml:space="preserve">Anchors and the 45-minute timed plan run as written above.</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Compressed (6–11)</w:t>
            </w:r>
          </w:p>
        </w:tc>
        <w:tc>
          <w:tcPr>
            <w:tcW w:type="dxa" w:w="1800"/>
            <w:shd w:fill="F7F9FB" w:val="clear"/>
            <w:tcMar>
              <w:top w:type="dxa" w:w="80"/>
              <w:left w:type="dxa" w:w="100"/>
              <w:bottom w:type="dxa" w:w="80"/>
              <w:right w:type="dxa" w:w="100"/>
            </w:tcMar>
          </w:tcPr>
          <w:p>
            <w:r>
              <w:rPr>
                <w:b w:val="false"/>
                <w:bCs w:val="false"/>
                <w:color w:val="000000"/>
                <w:sz w:val="20"/>
                <w:szCs w:val="20"/>
              </w:rPr>
              <w:t xml:space="preserve">roughly half</w:t>
            </w:r>
          </w:p>
        </w:tc>
        <w:tc>
          <w:tcPr>
            <w:tcW w:type="dxa" w:w="6100"/>
            <w:shd w:fill="F7F9FB" w:val="clear"/>
            <w:tcMar>
              <w:top w:type="dxa" w:w="80"/>
              <w:left w:type="dxa" w:w="100"/>
              <w:bottom w:type="dxa" w:w="80"/>
              <w:right w:type="dxa" w:w="100"/>
            </w:tcMar>
          </w:tcPr>
          <w:p>
            <w:r>
              <w:rPr>
                <w:b w:val="false"/>
                <w:bCs w:val="false"/>
                <w:color w:val="000000"/>
                <w:sz w:val="20"/>
                <w:szCs w:val="20"/>
              </w:rPr>
              <w:t xml:space="preserve">Anchors 2–3 combine into one pass; the deep-conflict section (already a single thread at this tier) runs shorter; total runtime shortens proportionally.</w:t>
            </w:r>
          </w:p>
        </w:tc>
      </w:tr>
      <w:tr>
        <w:tc>
          <w:tcPr>
            <w:tcW w:type="dxa" w:w="1600"/>
            <w:tcMar>
              <w:top w:type="dxa" w:w="80"/>
              <w:left w:type="dxa" w:w="100"/>
              <w:bottom w:type="dxa" w:w="80"/>
              <w:right w:type="dxa" w:w="100"/>
            </w:tcMar>
          </w:tcPr>
          <w:p>
            <w:r>
              <w:rPr>
                <w:b w:val="false"/>
                <w:bCs w:val="false"/>
                <w:color w:val="000000"/>
                <w:sz w:val="20"/>
                <w:szCs w:val="20"/>
              </w:rPr>
              <w:t xml:space="preserve">1:1 / pair (1–2)</w:t>
            </w:r>
          </w:p>
        </w:tc>
        <w:tc>
          <w:tcPr>
            <w:tcW w:type="dxa" w:w="1800"/>
            <w:tcMar>
              <w:top w:type="dxa" w:w="80"/>
              <w:left w:type="dxa" w:w="100"/>
              <w:bottom w:type="dxa" w:w="80"/>
              <w:right w:type="dxa" w:w="100"/>
            </w:tcMar>
          </w:tcPr>
          <w:p>
            <w:r>
              <w:rPr>
                <w:b w:val="false"/>
                <w:bCs w:val="false"/>
                <w:color w:val="000000"/>
                <w:sz w:val="20"/>
                <w:szCs w:val="20"/>
              </w:rPr>
              <w:t xml:space="preserve">one or two Heroes</w:t>
            </w:r>
          </w:p>
        </w:tc>
        <w:tc>
          <w:tcPr>
            <w:tcW w:type="dxa" w:w="6100"/>
            <w:tcMar>
              <w:top w:type="dxa" w:w="80"/>
              <w:left w:type="dxa" w:w="100"/>
              <w:bottom w:type="dxa" w:w="80"/>
              <w:right w:type="dxa" w:w="100"/>
            </w:tcMar>
          </w:tcPr>
          <w:p>
            <w:r>
              <w:rPr>
                <w:b w:val="false"/>
                <w:bCs w:val="false"/>
                <w:color w:val="000000"/>
                <w:sz w:val="20"/>
                <w:szCs w:val="20"/>
              </w:rPr>
              <w:t xml:space="preserve">No vote at Anchor 1 — a stated initial position instead; the facilitator plays devil's advocate directly rather than cold-calling; the D3 rate reveal still lands as the recompute moment and "who reverses" becomes "would you reverse, and why."</w:t>
            </w:r>
          </w:p>
        </w:tc>
      </w:tr>
    </w:tbl>
    <w:p>
      <w:pPr>
        <w:spacing w:after="140"/>
      </w:pPr>
      <w:r>
        <w:rPr>
          <w:b/>
          <w:bCs/>
        </w:rPr>
        <w:t xml:space="preserve">Note on case scope.</w:t>
      </w:r>
    </w:p>
    <w:p>
      <w:pPr>
        <w:spacing w:after="140"/>
      </w:pPr>
      <w:r>
        <w:rPr>
          <w:i/>
          <w:iCs/>
        </w:rPr>
        <w:t xml:space="preserve">This case is intentionally lighter and shorter than a typical MS-core or higher-tier case: it exists specifically to close two true zero-coverage, elementary-level vocabulary skills (Depth, Digit) in readmodel/standards_spine.json's Number Sense group, and its third skill (comparing two or more values) is a reinforcement of an already well-covered skill. Run it at the pace and depth of an early-track case — resist the urge to add complexity that would be appropriate for a T3/T4 case but is not appropriate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2026-09-06T12:11:03.053Z</dcterms:created>
  <dcterms:modified xsi:type="dcterms:W3CDTF">2026-09-06T12:11:03.053Z</dcterms:modified>
</cp:coreProperties>
</file>

<file path=docProps/custom.xml><?xml version="1.0" encoding="utf-8"?>
<Properties xmlns="http://schemas.openxmlformats.org/officeDocument/2006/custom-properties" xmlns:vt="http://schemas.openxmlformats.org/officeDocument/2006/docPropsVTypes"/>
</file>